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Proyectos de Generación de Conocimiento 2026</w:t>
      </w:r>
    </w:p>
    <w:p>
      <w:pPr>
        <w:pStyle w:val="Subtitle"/>
      </w:pPr>
      <w:r>
        <w:t>Preguntas frecuentes para universidades públicas</w:t>
      </w:r>
    </w:p>
    <w:p>
      <w:r>
        <w:t>Proyectos de investigación y ayudas predoctorales asociadas</w:t>
      </w:r>
    </w:p>
    <w:p>
      <w:r>
        <w:t>191 FAQs · 12 casos prácticos · referencias por respuesta</w:t>
      </w:r>
    </w:p>
    <w:p>
      <w:r>
        <w:t>Universidad de Valladolid</w:t>
        <w:br/>
        <w:t>Edición: 9 de octubre de 2026</w:t>
      </w:r>
    </w:p>
    <w:p>
      <w:pPr>
        <w:pStyle w:val="Heading1"/>
      </w:pPr>
      <w:r>
        <w:t>Resumen ejecutivo para gestores universitarios</w:t>
      </w:r>
    </w:p>
    <w:p>
      <w:r>
        <w:t>Solicitudes: del 3 al 24 de noviembre de 2026, hasta las 14:00, hora peninsular. El IP prepara y envía; la representación legal firma y registra en el mismo plazo. Sin esa formalización no hay solicitud presentada (art. 17.1 y 17.10).</w:t>
      </w:r>
    </w:p>
    <w:p>
      <w:r>
        <w:t>Participación: verificar doctorado anterior a 2025, vinculación y compatibilidades. En tipo A se añaden ventana de doctorado 2016-2024, ampliaciones admisibles e historial de liderazgo. Para las incompatibilidades de A/B/RTA se utiliza el final original de concesión; el tipo I tiene una lista propia (arts. 8-9; anexo V).</w:t>
      </w:r>
    </w:p>
    <w:p>
      <w:r>
        <w:t>Documentación: memoria de 20 páginas en individuales A/B/RTA, 25 en I y 35 en coordinados; CVA de 4 páginas. Memoria en inglés desde 100.000 euros de costes directos, sumando el coordinado, y siempre en I. CVA en inglés obligatorio solo en I. Puede subsanarse el idioma mediante traducción fiel, sin mejorar contenido (arts. 18.2 y 19.1).</w:t>
      </w:r>
    </w:p>
    <w:p>
      <w:r>
        <w:t>Presupuesto: costes marginales hasta el 100 %. Indirectos del proyecto: 25 % de directos, sin trasvase entre conceptos. Subcontratación: 25 % de la ayuda del proyecto, con posible incremento autorizado. Servicios centrales: tarifas públicas basadas en costes, sin salarios propios ni doble financiación (arts. 11 y 25.5-6).</w:t>
      </w:r>
    </w:p>
    <w:p>
      <w:r>
        <w:t>Predoctorales: ayuda de 143.350 euros, con 32.500 por año de contratación, 3.350 de indemnización y 10.000 de estancias/matrícula. La dotación no equivale a salario. La convocatoria exige al menos el 75 % de categoría equivalente en todas las anualidades y referencia mínima M3. La UVa asume excesos (arts. 12.4, 13.2 y 14.3).</w:t>
      </w:r>
    </w:p>
    <w:p>
      <w:r>
        <w:t>Selección predoctoral: publicación EURAXESS obligatoria, baremo 50/50 e informe de selección. Incorporación en día 1 dentro del plazo de nueve meses. Omitir EURAXESS causa reintegro del 2 %, equivalente a 2.867 euros por ayuda (arts. 12.1-2 y 23.4).</w:t>
      </w:r>
    </w:p>
    <w:p>
      <w:r>
        <w:t>Gestión: separar proyecto y ayuda predoctoral. El primero sigue cuenta simplificada; contratación predoctoral, módulos de 2.708,33 euros mensuales; estancias, matrícula e indemnización, cuenta simplificada. Los plazos de seguimiento de ambos expedientes son diferentes (arts. 26-30).</w:t>
      </w:r>
    </w:p>
    <w:p>
      <w:r>
        <w:t>Obligaciones críticas: reconocimiento de financiación, depósito abierto y plan de datos, autorizaciones éticas antes de actividades exigibles, comunicación de cambios y conservación documental. El reintegro por acceso abierto puede llegar al 10 %; por falta de integridad, al total (art. 23; anexo IV).</w:t>
      </w:r>
    </w:p>
    <w:p>
      <w:r>
        <w:br w:type="page"/>
      </w:r>
    </w:p>
    <w:p>
      <w:pPr>
        <w:pStyle w:val="Heading1"/>
      </w:pPr>
      <w:r>
        <w:t>Alcance del FAQ</w:t>
      </w:r>
    </w:p>
    <w:p>
      <w:r>
        <w:t>Dirigido a investigadores y gestores de universidades públicas, con aplicación operativa al Servicio de Apoyo a la Investigación de la UVa. Las acciones prácticas son propuestas de gestión; no se presentan como instrucciones internas aprobadas por la universidad.</w:t>
      </w:r>
    </w:p>
    <w:tbl>
      <w:tblPr>
        <w:tblStyle w:val="LightShading-Accent1"/>
        <w:tblW w:type="auto" w:w="0"/>
        <w:tblLook w:firstColumn="1" w:firstRow="1" w:lastColumn="0" w:lastRow="0" w:noHBand="0" w:noVBand="1" w:val="04A0"/>
      </w:tblPr>
      <w:tblGrid>
        <w:gridCol w:w="3213"/>
        <w:gridCol w:w="3213"/>
        <w:gridCol w:w="3213"/>
      </w:tblGrid>
      <w:tr>
        <w:trPr>
          <w:cantSplit/>
          <w:tblHeader/>
        </w:trPr>
        <w:tc>
          <w:tcPr>
            <w:tcW w:type="dxa" w:w="3213"/>
          </w:tcPr>
          <w:p>
            <w:r>
              <w:rPr>
                <w:sz w:val="18"/>
              </w:rPr>
              <w:t>Código</w:t>
            </w:r>
          </w:p>
        </w:tc>
        <w:tc>
          <w:tcPr>
            <w:tcW w:type="dxa" w:w="3213"/>
          </w:tcPr>
          <w:p>
            <w:r>
              <w:rPr>
                <w:sz w:val="18"/>
              </w:rPr>
              <w:t>Documento analizado</w:t>
            </w:r>
          </w:p>
        </w:tc>
        <w:tc>
          <w:tcPr>
            <w:tcW w:type="dxa" w:w="3213"/>
          </w:tcPr>
          <w:p>
            <w:r>
              <w:rPr>
                <w:sz w:val="18"/>
              </w:rPr>
              <w:t>Identificación y alcance</w:t>
            </w:r>
          </w:p>
        </w:tc>
      </w:tr>
      <w:tr>
        <w:trPr>
          <w:cantSplit/>
        </w:trPr>
        <w:tc>
          <w:tcPr>
            <w:tcW w:type="dxa" w:w="3213"/>
          </w:tcPr>
          <w:p>
            <w:r>
              <w:rPr>
                <w:sz w:val="18"/>
              </w:rPr>
              <w:t>D1</w:t>
            </w:r>
          </w:p>
        </w:tc>
        <w:tc>
          <w:tcPr>
            <w:tcW w:type="dxa" w:w="3213"/>
          </w:tcPr>
          <w:p>
            <w:r>
              <w:rPr>
                <w:sz w:val="18"/>
              </w:rPr>
              <w:t>Convocatoria_ProyectosGeneraciónConocimiento_Predoc_2026_fda.pdf</w:t>
            </w:r>
          </w:p>
        </w:tc>
        <w:tc>
          <w:tcPr>
            <w:tcW w:type="dxa" w:w="3213"/>
          </w:tcPr>
          <w:p>
            <w:r>
              <w:rPr>
                <w:sz w:val="18"/>
              </w:rPr>
              <w:t>88 páginas. Resolución de la Presidencia de la AEI firmada el 30/09/2026. Fuente principal: arts. 1-33 y anexos I-IX.</w:t>
            </w:r>
          </w:p>
        </w:tc>
      </w:tr>
      <w:tr>
        <w:trPr>
          <w:cantSplit/>
        </w:trPr>
        <w:tc>
          <w:tcPr>
            <w:tcW w:type="dxa" w:w="3213"/>
          </w:tcPr>
          <w:p>
            <w:r>
              <w:rPr>
                <w:sz w:val="18"/>
              </w:rPr>
              <w:t>D2</w:t>
            </w:r>
          </w:p>
        </w:tc>
        <w:tc>
          <w:tcPr>
            <w:tcW w:type="dxa" w:w="3213"/>
          </w:tcPr>
          <w:p>
            <w:r>
              <w:rPr>
                <w:sz w:val="18"/>
              </w:rPr>
              <w:t>Extracto BOE.pdf</w:t>
            </w:r>
          </w:p>
        </w:tc>
        <w:tc>
          <w:tcPr>
            <w:tcW w:type="dxa" w:w="3213"/>
          </w:tcPr>
          <w:p>
            <w:r>
              <w:rPr>
                <w:sz w:val="18"/>
              </w:rPr>
              <w:t>2 páginas. BOE n.º 244, 02/10/2026, pp. 51885-51886. BOE-B-2026-31900. BDNS 918664.</w:t>
            </w:r>
          </w:p>
        </w:tc>
      </w:tr>
      <w:tr>
        <w:trPr>
          <w:cantSplit/>
        </w:trPr>
        <w:tc>
          <w:tcPr>
            <w:tcW w:type="dxa" w:w="3213"/>
          </w:tcPr>
          <w:p>
            <w:r>
              <w:rPr>
                <w:sz w:val="18"/>
              </w:rPr>
              <w:t>D3</w:t>
            </w:r>
          </w:p>
        </w:tc>
        <w:tc>
          <w:tcPr>
            <w:tcW w:type="dxa" w:w="3213"/>
          </w:tcPr>
          <w:p>
            <w:r>
              <w:rPr>
                <w:sz w:val="18"/>
              </w:rPr>
              <w:t>RESUMEN Convocatoria.pdf</w:t>
            </w:r>
          </w:p>
        </w:tc>
        <w:tc>
          <w:tcPr>
            <w:tcW w:type="dxa" w:w="3213"/>
          </w:tcPr>
          <w:p>
            <w:r>
              <w:rPr>
                <w:sz w:val="18"/>
              </w:rPr>
              <w:t>8 páginas. Síntesis aportada; no identifica autoría institucional ni fecha propia. Se contrasta con D1 y D2, sin atribuirle rango normativo.</w:t>
            </w:r>
          </w:p>
        </w:tc>
      </w:tr>
    </w:tbl>
    <w:p>
      <w:r>
        <w:t>Marco: Orden CNU/671/2026 y normativa citada en el art. 4. Las referencias a otras leyes se utilizan dentro de las remisiones expresas de la convocatoria. Las instrucciones de ejecución, los modelos y las normas UVa deben consultarse en su versión aplicable al trámite. No se afirma una revisión exhaustiva independiente de todas esas normas externas.</w:t>
      </w:r>
    </w:p>
    <w:p>
      <w:r>
        <w:t>Cobertura por documento: las FAQs 1-50 desarrollan los elementos y remisiones del extracto D2; las 51-100 revisan el resumen D3; las 101-191 completan D1. D1 fundamenta normativamente las respuestas de los tres grupos. Los detalles añadidos al extracto se identifican como desarrollo de D1, no como contenido literal de D2. Las dudas temáticas se ordenan por secciones para facilitar la consulta.</w:t>
      </w:r>
    </w:p>
    <w:p>
      <w:r>
        <w:t>Verificación externa: identificación, plazo y novedades contrastados el 09/10/2026 en BOE y página oficial AEI. Enlaces:</w:t>
      </w:r>
    </w:p>
    <w:p>
      <w:r>
        <w:t>BOE: https://www.boe.es/diario_boe/txt.php?id=BOE-B-2026-31900</w:t>
      </w:r>
    </w:p>
    <w:p>
      <w:r>
        <w:t>AEI: https://www.aei.gob.es/ca/convocatories/cercador-convocatories/proyectos-generacion-conocimiento-actuaciones-formacion-9</w:t>
      </w:r>
    </w:p>
    <w:p>
      <w:pPr>
        <w:pStyle w:val="Heading1"/>
      </w:pPr>
      <w:r>
        <w:t>Resumen de riesgos y errores frecuentes</w:t>
      </w:r>
    </w:p>
    <w:p>
      <w:r>
        <w:rPr>
          <w:b/>
        </w:rPr>
        <w:t xml:space="preserve">Registro incompleto o tardío: </w:t>
      </w:r>
      <w:r>
        <w:t>El envío del IP no sustituye firma y registro institucional. Art. 17.1 y 17.10.</w:t>
      </w:r>
    </w:p>
    <w:p>
      <w:r>
        <w:rPr>
          <w:b/>
        </w:rPr>
        <w:t xml:space="preserve">IP o miembros incompatibles: </w:t>
      </w:r>
      <w:r>
        <w:t>Revisar rol, vinculación y proyectos del anexo V. Arts. 8-9.</w:t>
      </w:r>
    </w:p>
    <w:p>
      <w:r>
        <w:rPr>
          <w:b/>
        </w:rPr>
        <w:t xml:space="preserve">Memoria y CVA incompletos: </w:t>
      </w:r>
      <w:r>
        <w:t>No se admite mejorar contenido tras cierre; traducción fiel es un supuesto específico. Arts. 18.4 y 19.1.</w:t>
      </w:r>
    </w:p>
    <w:p>
      <w:r>
        <w:rPr>
          <w:b/>
        </w:rPr>
        <w:t xml:space="preserve">Gastos ajenos o excluidos: </w:t>
      </w:r>
      <w:r>
        <w:t>Personal no admisible, papelería, protocolo, honorarios y publicaciones excluidas. Art. 11.3 y 11.7.</w:t>
      </w:r>
    </w:p>
    <w:p>
      <w:r>
        <w:rPr>
          <w:b/>
        </w:rPr>
        <w:t xml:space="preserve">Contratación sin financiación suficiente: </w:t>
      </w:r>
      <w:r>
        <w:t>La universidad asume exceso del coste predoctoral. Art. 13.2.b).</w:t>
      </w:r>
    </w:p>
    <w:p>
      <w:r>
        <w:rPr>
          <w:b/>
        </w:rPr>
        <w:t xml:space="preserve">Falta de EURAXESS: </w:t>
      </w:r>
      <w:r>
        <w:t>Reintegro del 2 % de la ayuda predoctoral. Art. 12.1.</w:t>
      </w:r>
    </w:p>
    <w:p>
      <w:r>
        <w:rPr>
          <w:b/>
        </w:rPr>
        <w:t xml:space="preserve">Cambios o prórrogas no autorizados: </w:t>
      </w:r>
      <w:r>
        <w:t>Respetar antelación, condiciones y vía electrónica. Art. 25.</w:t>
      </w:r>
    </w:p>
    <w:p>
      <w:r>
        <w:rPr>
          <w:b/>
        </w:rPr>
        <w:t xml:space="preserve">Justificación o seguimiento fuera de plazo: </w:t>
      </w:r>
      <w:r>
        <w:t>Riesgo de pérdida de pagos y reintegro. Arts. 26.4, 29.5 y 30.2.</w:t>
      </w:r>
    </w:p>
    <w:p>
      <w:r>
        <w:rPr>
          <w:b/>
        </w:rPr>
        <w:t xml:space="preserve">Acceso abierto incumplido: </w:t>
      </w:r>
      <w:r>
        <w:t>Hasta el 10 % de reintegro por depósito. Art. 23.3.a).</w:t>
      </w:r>
    </w:p>
    <w:p>
      <w:r>
        <w:rPr>
          <w:b/>
        </w:rPr>
        <w:t xml:space="preserve">Ética, integridad o datos deficientes: </w:t>
      </w:r>
      <w:r>
        <w:t>Posible reintegro total; controles previos de actividad y deber de información. Arts. 17.12 y 23.3.d); anexo IV.</w:t>
      </w:r>
    </w:p>
    <w:p>
      <w:r>
        <w:br w:type="page"/>
      </w:r>
    </w:p>
    <w:p>
      <w:pPr>
        <w:pStyle w:val="Heading1"/>
      </w:pPr>
      <w:r>
        <w:t>FAQ principal</w:t>
      </w:r>
    </w:p>
    <w:p>
      <w:pPr>
        <w:pStyle w:val="Heading2"/>
      </w:pPr>
      <w:r>
        <w:t>Participación y encuadre de la propuesta</w:t>
      </w:r>
    </w:p>
    <w:p>
      <w:pPr>
        <w:pStyle w:val="Heading3"/>
        <w:keepNext/>
      </w:pPr>
      <w:r>
        <w:t>001. ¿Puede concurrir la Universidad de Valladolid?</w:t>
      </w:r>
    </w:p>
    <w:p>
      <w:pPr>
        <w:keepNext/>
      </w:pPr>
      <w:r>
        <w:rPr>
          <w:b/>
        </w:rPr>
        <w:t xml:space="preserve">Dificultad: </w:t>
      </w:r>
      <w:r>
        <w:t>Fácil</w:t>
      </w:r>
    </w:p>
    <w:p>
      <w:pPr>
        <w:keepNext/>
      </w:pPr>
      <w:r>
        <w:rPr>
          <w:b/>
        </w:rPr>
        <w:t xml:space="preserve">Respuesta: </w:t>
      </w:r>
      <w:r>
        <w:t>Sí, como universidad pública, siempre que cumpla las condiciones institucionales de la convocatoria. La entidad beneficiaria es la universidad, no la persona que dirige el proyecto.</w:t>
      </w:r>
    </w:p>
    <w:p>
      <w:pPr>
        <w:keepNext/>
      </w:pPr>
      <w:r>
        <w:rPr>
          <w:b/>
        </w:rPr>
        <w:t xml:space="preserve">Pasos o acción práctica: </w:t>
      </w:r>
      <w:r>
        <w:t>Comprobar datos institucionales y representación en SISEN.</w:t>
      </w:r>
    </w:p>
    <w:p>
      <w:pPr>
        <w:keepNext/>
      </w:pPr>
      <w:r>
        <w:rPr>
          <w:b/>
        </w:rPr>
        <w:t xml:space="preserve">Errores comunes: </w:t>
      </w:r>
      <w:r>
        <w:t>Presentar al IP como beneficiario.</w:t>
      </w:r>
    </w:p>
    <w:p>
      <w:r>
        <w:rPr>
          <w:b/>
        </w:rPr>
        <w:t xml:space="preserve">Referencia normativa: </w:t>
      </w:r>
      <w:r>
        <w:t>D2, desarrollo de sus elementos/remisiones con D1. Art. 7.1.b), 7.4-7; extracto, Primero.</w:t>
      </w:r>
    </w:p>
    <w:p>
      <w:pPr>
        <w:pStyle w:val="Heading3"/>
        <w:keepNext/>
      </w:pPr>
      <w:r>
        <w:t>002. ¿Qué se financia en esta convocatoria?</w:t>
      </w:r>
    </w:p>
    <w:p>
      <w:pPr>
        <w:keepNext/>
      </w:pPr>
      <w:r>
        <w:rPr>
          <w:b/>
        </w:rPr>
        <w:t xml:space="preserve">Dificultad: </w:t>
      </w:r>
      <w:r>
        <w:t>Fácil</w:t>
      </w:r>
    </w:p>
    <w:p>
      <w:pPr>
        <w:keepNext/>
      </w:pPr>
      <w:r>
        <w:rPr>
          <w:b/>
        </w:rPr>
        <w:t xml:space="preserve">Respuesta: </w:t>
      </w:r>
      <w:r>
        <w:t>Se apoyan proyectos de investigación y actuaciones predoctorales ligadas a los proyectos financiados. La solicitud debe distinguir el presupuesto del proyecto de la petición de ayuda predoctoral.</w:t>
      </w:r>
    </w:p>
    <w:p>
      <w:pPr>
        <w:keepNext/>
      </w:pPr>
      <w:r>
        <w:rPr>
          <w:b/>
        </w:rPr>
        <w:t xml:space="preserve">Pasos o acción práctica: </w:t>
      </w:r>
      <w:r>
        <w:t>Definir proyecto y necesidad formativa antes de cumplimentar la solicitud.</w:t>
      </w:r>
    </w:p>
    <w:p>
      <w:pPr>
        <w:keepNext/>
      </w:pPr>
      <w:r>
        <w:rPr>
          <w:b/>
        </w:rPr>
        <w:t xml:space="preserve">Errores comunes: </w:t>
      </w:r>
      <w:r>
        <w:t>Tratar las dos ayudas como una sola bolsa de gasto.</w:t>
      </w:r>
    </w:p>
    <w:p>
      <w:r>
        <w:rPr>
          <w:b/>
        </w:rPr>
        <w:t xml:space="preserve">Referencia normativa: </w:t>
      </w:r>
      <w:r>
        <w:t>D2, desarrollo de sus elementos/remisiones con D1. Arts. 1-3; extracto, Segundo.</w:t>
      </w:r>
    </w:p>
    <w:p>
      <w:pPr>
        <w:pStyle w:val="Heading3"/>
        <w:keepNext/>
      </w:pPr>
      <w:r>
        <w:t>003. ¿Qué caracteriza a la investigación no orientada?</w:t>
      </w:r>
    </w:p>
    <w:p>
      <w:pPr>
        <w:keepNext/>
      </w:pPr>
      <w:r>
        <w:rPr>
          <w:b/>
        </w:rPr>
        <w:t xml:space="preserve">Dificultad: </w:t>
      </w:r>
      <w:r>
        <w:t>Fácil</w:t>
      </w:r>
    </w:p>
    <w:p>
      <w:pPr>
        <w:keepNext/>
      </w:pPr>
      <w:r>
        <w:rPr>
          <w:b/>
        </w:rPr>
        <w:t xml:space="preserve">Respuesta: </w:t>
      </w:r>
      <w:r>
        <w:t>La propuesta busca progreso científico sin tener que encajar en una prioridad temática predeterminada. Debe justificar su novedad y su contribución al conocimiento.</w:t>
      </w:r>
    </w:p>
    <w:p>
      <w:pPr>
        <w:keepNext/>
      </w:pPr>
      <w:r>
        <w:rPr>
          <w:b/>
        </w:rPr>
        <w:t xml:space="preserve">Pasos o acción práctica: </w:t>
      </w:r>
      <w:r>
        <w:t>Relacionar hipótesis, objetivos y estado de la investigación.</w:t>
      </w:r>
    </w:p>
    <w:p>
      <w:pPr>
        <w:keepNext/>
      </w:pPr>
      <w:r>
        <w:rPr>
          <w:b/>
        </w:rPr>
        <w:t xml:space="preserve">Errores comunes: </w:t>
      </w:r>
      <w:r>
        <w:t>Seleccionar la modalidad solo por conveniencia presupuestaria.</w:t>
      </w:r>
    </w:p>
    <w:p>
      <w:r>
        <w:rPr>
          <w:b/>
        </w:rPr>
        <w:t xml:space="preserve">Referencia normativa: </w:t>
      </w:r>
      <w:r>
        <w:t>D2, desarrollo de sus elementos/remisiones con D1. Arts. 2.1.a) y 10.1.a); extracto, Segundo.a).</w:t>
      </w:r>
    </w:p>
    <w:p>
      <w:pPr>
        <w:pStyle w:val="Heading3"/>
        <w:keepNext/>
      </w:pPr>
      <w:r>
        <w:t>004. ¿Qué caracteriza a la investigación orientada?</w:t>
      </w:r>
    </w:p>
    <w:p>
      <w:pPr>
        <w:keepNext/>
      </w:pPr>
      <w:r>
        <w:rPr>
          <w:b/>
        </w:rPr>
        <w:t xml:space="preserve">Dificultad: </w:t>
      </w:r>
      <w:r>
        <w:t>Fácil</w:t>
      </w:r>
    </w:p>
    <w:p>
      <w:pPr>
        <w:keepNext/>
      </w:pPr>
      <w:r>
        <w:rPr>
          <w:b/>
        </w:rPr>
        <w:t xml:space="preserve">Respuesta: </w:t>
      </w:r>
      <w:r>
        <w:t>Debe abordar un problema relacionado con una prioridad del anexo III. El encaje temático y la contribución prevista deben explicarse en la memoria.</w:t>
      </w:r>
    </w:p>
    <w:p>
      <w:pPr>
        <w:keepNext/>
      </w:pPr>
      <w:r>
        <w:rPr>
          <w:b/>
        </w:rPr>
        <w:t xml:space="preserve">Pasos o acción práctica: </w:t>
      </w:r>
      <w:r>
        <w:t>Seleccionar la prioridad y describir el problema que se pretende resolver.</w:t>
      </w:r>
    </w:p>
    <w:p>
      <w:pPr>
        <w:keepNext/>
      </w:pPr>
      <w:r>
        <w:rPr>
          <w:b/>
        </w:rPr>
        <w:t xml:space="preserve">Errores comunes: </w:t>
      </w:r>
      <w:r>
        <w:t>Confundir área de evaluación con prioridad temática.</w:t>
      </w:r>
    </w:p>
    <w:p>
      <w:r>
        <w:rPr>
          <w:b/>
        </w:rPr>
        <w:t xml:space="preserve">Referencia normativa: </w:t>
      </w:r>
      <w:r>
        <w:t>D2, desarrollo de sus elementos/remisiones con D1. Arts. 2.1.b), 10.1.b) y 18.1.c); anexo III; extracto, Segundo.b).</w:t>
      </w:r>
    </w:p>
    <w:p>
      <w:pPr>
        <w:pStyle w:val="Heading3"/>
        <w:keepNext/>
      </w:pPr>
      <w:r>
        <w:t>005. ¿Son equivalentes modalidad y tipo de proyecto?</w:t>
      </w:r>
    </w:p>
    <w:p>
      <w:pPr>
        <w:keepNext/>
      </w:pPr>
      <w:r>
        <w:rPr>
          <w:b/>
        </w:rPr>
        <w:t xml:space="preserve">Dificultad: </w:t>
      </w:r>
      <w:r>
        <w:t>Media</w:t>
      </w:r>
    </w:p>
    <w:p>
      <w:pPr>
        <w:keepNext/>
      </w:pPr>
      <w:r>
        <w:rPr>
          <w:b/>
        </w:rPr>
        <w:t xml:space="preserve">Respuesta: </w:t>
      </w:r>
      <w:r>
        <w:t>No. Orientada y no orientada son modalidades; A, B, RTA e I identifican tipologías con requisitos distintos. La elección condiciona elegibilidad, documentación y evaluación.</w:t>
      </w:r>
    </w:p>
    <w:p>
      <w:pPr>
        <w:keepNext/>
      </w:pPr>
      <w:r>
        <w:rPr>
          <w:b/>
        </w:rPr>
        <w:t xml:space="preserve">Pasos o acción práctica: </w:t>
      </w:r>
      <w:r>
        <w:t>Validar ambas selecciones de forma separada.</w:t>
      </w:r>
    </w:p>
    <w:p>
      <w:pPr>
        <w:keepNext/>
      </w:pPr>
      <w:r>
        <w:rPr>
          <w:b/>
        </w:rPr>
        <w:t xml:space="preserve">Errores comunes: </w:t>
      </w:r>
      <w:r>
        <w:t>Cambiar de tipo para corregir una incompatibilidad después del cierre.</w:t>
      </w:r>
    </w:p>
    <w:p>
      <w:r>
        <w:rPr>
          <w:b/>
        </w:rPr>
        <w:t xml:space="preserve">Referencia normativa: </w:t>
      </w:r>
      <w:r>
        <w:t>D2, desarrollo de sus elementos/remisiones con D1. Arts. 2.1-2 y 18.1.a).</w:t>
      </w:r>
    </w:p>
    <w:p>
      <w:pPr>
        <w:pStyle w:val="Heading3"/>
        <w:keepNext/>
      </w:pPr>
      <w:r>
        <w:t>006. ¿En qué se distinguen los proyectos A y B?</w:t>
      </w:r>
    </w:p>
    <w:p>
      <w:pPr>
        <w:keepNext/>
      </w:pPr>
      <w:r>
        <w:rPr>
          <w:b/>
        </w:rPr>
        <w:t xml:space="preserve">Dificultad: </w:t>
      </w:r>
      <w:r>
        <w:t>Media</w:t>
      </w:r>
    </w:p>
    <w:p>
      <w:pPr>
        <w:keepNext/>
      </w:pPr>
      <w:r>
        <w:rPr>
          <w:b/>
        </w:rPr>
        <w:t xml:space="preserve">Respuesta: </w:t>
      </w:r>
      <w:r>
        <w:t>Los A se dirigen a perfiles en una etapa inicial de liderazgo y exigen condiciones adicionales sobre doctorado y experiencia como IP. Los B se dirigen a trayectorias consolidadas.</w:t>
      </w:r>
    </w:p>
    <w:p>
      <w:pPr>
        <w:keepNext/>
      </w:pPr>
      <w:r>
        <w:rPr>
          <w:b/>
        </w:rPr>
        <w:t xml:space="preserve">Pasos o acción práctica: </w:t>
      </w:r>
      <w:r>
        <w:t>Revisar historial de proyectos y fecha de tesis de cada IP.</w:t>
      </w:r>
    </w:p>
    <w:p>
      <w:pPr>
        <w:keepNext/>
      </w:pPr>
      <w:r>
        <w:rPr>
          <w:b/>
        </w:rPr>
        <w:t xml:space="preserve">Errores comunes: </w:t>
      </w:r>
      <w:r>
        <w:t>Creer que cualquier doctor joven cumple los requisitos del tipo A.</w:t>
      </w:r>
    </w:p>
    <w:p>
      <w:r>
        <w:rPr>
          <w:b/>
        </w:rPr>
        <w:t xml:space="preserve">Referencia normativa: </w:t>
      </w:r>
      <w:r>
        <w:t>D2, desarrollo de sus elementos/remisiones con D1. Arts. 8.3 y 10.3.a)-b).</w:t>
      </w:r>
    </w:p>
    <w:p>
      <w:pPr>
        <w:pStyle w:val="Heading3"/>
        <w:keepNext/>
      </w:pPr>
      <w:r>
        <w:t>007. ¿Puede la UVa presentar cualquier proyecto RTA?</w:t>
      </w:r>
    </w:p>
    <w:p>
      <w:pPr>
        <w:keepNext/>
      </w:pPr>
      <w:r>
        <w:rPr>
          <w:b/>
        </w:rPr>
        <w:t xml:space="preserve">Dificultad: </w:t>
      </w:r>
      <w:r>
        <w:t>Media</w:t>
      </w:r>
    </w:p>
    <w:p>
      <w:pPr>
        <w:keepNext/>
      </w:pPr>
      <w:r>
        <w:rPr>
          <w:b/>
        </w:rPr>
        <w:t xml:space="preserve">Respuesta: </w:t>
      </w:r>
      <w:r>
        <w:t>La UVa puede participar como beneficiaria de un subproyecto RTA coordinado si el coordinador cumple la condición institucional específica. La universidad no reúne por su sola condición universitaria el requisito para liderar un RTA individual o coordinador.</w:t>
      </w:r>
    </w:p>
    <w:p>
      <w:pPr>
        <w:keepNext/>
      </w:pPr>
      <w:r>
        <w:rPr>
          <w:b/>
        </w:rPr>
        <w:t xml:space="preserve">Pasos o acción práctica: </w:t>
      </w:r>
      <w:r>
        <w:t>Verificar entidad coordinadora y estructura del consorcio.</w:t>
      </w:r>
    </w:p>
    <w:p>
      <w:pPr>
        <w:keepNext/>
      </w:pPr>
      <w:r>
        <w:rPr>
          <w:b/>
        </w:rPr>
        <w:t xml:space="preserve">Errores comunes: </w:t>
      </w:r>
      <w:r>
        <w:t>Equiparar especialización agraria con pertenencia al sistema INIA-CCAA.</w:t>
      </w:r>
    </w:p>
    <w:p>
      <w:r>
        <w:rPr>
          <w:b/>
        </w:rPr>
        <w:t xml:space="preserve">Referencia normativa: </w:t>
      </w:r>
      <w:r>
        <w:t>D2, desarrollo de sus elementos/remisiones con D1. Arts. 7.3 y 10.5.d).</w:t>
      </w:r>
    </w:p>
    <w:p>
      <w:pPr>
        <w:pStyle w:val="Heading3"/>
        <w:keepNext/>
      </w:pPr>
      <w:r>
        <w:t>008. ¿Qué exige un proyecto de tipo I?</w:t>
      </w:r>
    </w:p>
    <w:p>
      <w:pPr>
        <w:keepNext/>
      </w:pPr>
      <w:r>
        <w:rPr>
          <w:b/>
        </w:rPr>
        <w:t xml:space="preserve">Dificultad: </w:t>
      </w:r>
      <w:r>
        <w:t>Compleja</w:t>
      </w:r>
    </w:p>
    <w:p>
      <w:pPr>
        <w:keepNext/>
      </w:pPr>
      <w:r>
        <w:rPr>
          <w:b/>
        </w:rPr>
        <w:t xml:space="preserve">Respuesta: </w:t>
      </w:r>
      <w:r>
        <w:t>Es una colaboración bilateral de modalidad no orientada, dentro de la tipología B, con contraparte financiada por NCN o SNSF. La concesión española requiere elegibilidad y financiación extranjera.</w:t>
      </w:r>
    </w:p>
    <w:p>
      <w:pPr>
        <w:keepNext/>
      </w:pPr>
      <w:r>
        <w:rPr>
          <w:b/>
        </w:rPr>
        <w:t xml:space="preserve">Pasos o acción práctica: </w:t>
      </w:r>
      <w:r>
        <w:t>Acordar tareas y comprobar la convocatoria extranjera correspondiente.</w:t>
      </w:r>
    </w:p>
    <w:p>
      <w:pPr>
        <w:keepNext/>
      </w:pPr>
      <w:r>
        <w:rPr>
          <w:b/>
        </w:rPr>
        <w:t xml:space="preserve">Errores comunes: </w:t>
      </w:r>
      <w:r>
        <w:t>Suponer que cualquier país o socio internacional sirve.</w:t>
      </w:r>
    </w:p>
    <w:p>
      <w:r>
        <w:rPr>
          <w:b/>
        </w:rPr>
        <w:t xml:space="preserve">Referencia normativa: </w:t>
      </w:r>
      <w:r>
        <w:t>D2, desarrollo de sus elementos/remisiones con D1. Arts. 2.2.b).2.º y 10.3.b).2.º; anexo VIII.</w:t>
      </w:r>
    </w:p>
    <w:p>
      <w:pPr>
        <w:pStyle w:val="Heading3"/>
        <w:keepNext/>
      </w:pPr>
      <w:r>
        <w:t>009. ¿Puede un proyecto individual tener dos IP?</w:t>
      </w:r>
    </w:p>
    <w:p>
      <w:pPr>
        <w:keepNext/>
      </w:pPr>
      <w:r>
        <w:rPr>
          <w:b/>
        </w:rPr>
        <w:t xml:space="preserve">Dificultad: </w:t>
      </w:r>
      <w:r>
        <w:t>Compleja</w:t>
      </w:r>
    </w:p>
    <w:p>
      <w:pPr>
        <w:keepNext/>
      </w:pPr>
      <w:r>
        <w:rPr>
          <w:b/>
        </w:rPr>
        <w:t xml:space="preserve">Respuesta: </w:t>
      </w:r>
      <w:r>
        <w:t>Sí. Los dos tienen igual consideración científica, aunque uno actúa como interlocutor ante la AEI. Ambos deben satisfacer los requisitos que correspondan.</w:t>
      </w:r>
    </w:p>
    <w:p>
      <w:pPr>
        <w:keepNext/>
      </w:pPr>
      <w:r>
        <w:rPr>
          <w:b/>
        </w:rPr>
        <w:t xml:space="preserve">Pasos o acción práctica: </w:t>
      </w:r>
      <w:r>
        <w:t>Asignar interlocución y responsabilidades científicas por escrito.</w:t>
      </w:r>
    </w:p>
    <w:p>
      <w:pPr>
        <w:keepNext/>
      </w:pPr>
      <w:r>
        <w:rPr>
          <w:b/>
        </w:rPr>
        <w:t xml:space="preserve">Errores comunes: </w:t>
      </w:r>
      <w:r>
        <w:t>Suponer que el segundo IP tiene requisitos menos exigentes.</w:t>
      </w:r>
    </w:p>
    <w:p>
      <w:r>
        <w:rPr>
          <w:b/>
        </w:rPr>
        <w:t xml:space="preserve">Referencia normativa: </w:t>
      </w:r>
      <w:r>
        <w:t>D2, desarrollo de sus elementos/remisiones con D1. Arts. 8.1 y 10.2; anexo VII.</w:t>
      </w:r>
    </w:p>
    <w:p>
      <w:pPr>
        <w:pStyle w:val="Heading3"/>
        <w:keepNext/>
      </w:pPr>
      <w:r>
        <w:t>010. ¿Quién responde de objetivos y tareas principales?</w:t>
      </w:r>
    </w:p>
    <w:p>
      <w:pPr>
        <w:keepNext/>
      </w:pPr>
      <w:r>
        <w:rPr>
          <w:b/>
        </w:rPr>
        <w:t xml:space="preserve">Dificultad: </w:t>
      </w:r>
      <w:r>
        <w:t>Media</w:t>
      </w:r>
    </w:p>
    <w:p>
      <w:pPr>
        <w:keepNext/>
      </w:pPr>
      <w:r>
        <w:rPr>
          <w:b/>
        </w:rPr>
        <w:t xml:space="preserve">Respuesta: </w:t>
      </w:r>
      <w:r>
        <w:t>La responsabilidad corresponde al IP y al equipo de investigación. El equipo de trabajo colabora, pero no puede figurar como responsable de objetivos y tareas.</w:t>
      </w:r>
    </w:p>
    <w:p>
      <w:pPr>
        <w:keepNext/>
      </w:pPr>
      <w:r>
        <w:rPr>
          <w:b/>
        </w:rPr>
        <w:t xml:space="preserve">Pasos o acción práctica: </w:t>
      </w:r>
      <w:r>
        <w:t>Revisar matriz de tareas y cronograma.</w:t>
      </w:r>
    </w:p>
    <w:p>
      <w:pPr>
        <w:keepNext/>
      </w:pPr>
      <w:r>
        <w:rPr>
          <w:b/>
        </w:rPr>
        <w:t xml:space="preserve">Errores comunes: </w:t>
      </w:r>
      <w:r>
        <w:t>Asignar un objetivo a un predoctoral integrado en el equipo de trabajo.</w:t>
      </w:r>
    </w:p>
    <w:p>
      <w:r>
        <w:rPr>
          <w:b/>
        </w:rPr>
        <w:t xml:space="preserve">Referencia normativa: </w:t>
      </w:r>
      <w:r>
        <w:t>D2, desarrollo de sus elementos/remisiones con D1. Arts. 8.1 y 9.3.</w:t>
      </w:r>
    </w:p>
    <w:p>
      <w:pPr>
        <w:pStyle w:val="Heading3"/>
        <w:keepNext/>
      </w:pPr>
      <w:r>
        <w:t>011. ¿Qué fecha de doctorado se exige al IP?</w:t>
      </w:r>
    </w:p>
    <w:p>
      <w:pPr>
        <w:keepNext/>
      </w:pPr>
      <w:r>
        <w:rPr>
          <w:b/>
        </w:rPr>
        <w:t xml:space="preserve">Dificultad: </w:t>
      </w:r>
      <w:r>
        <w:t>Compleja</w:t>
      </w:r>
    </w:p>
    <w:p>
      <w:pPr>
        <w:keepNext/>
      </w:pPr>
      <w:r>
        <w:rPr>
          <w:b/>
        </w:rPr>
        <w:t xml:space="preserve">Respuesta: </w:t>
      </w:r>
      <w:r>
        <w:t>Debe haber obtenido el doctorado antes del 1 de enero de 2025. Se utiliza la fecha de defensa y aprobación de la tesis; si hay varios doctorados, cuenta el primero.</w:t>
      </w:r>
    </w:p>
    <w:p>
      <w:pPr>
        <w:keepNext/>
      </w:pPr>
      <w:r>
        <w:rPr>
          <w:b/>
        </w:rPr>
        <w:t xml:space="preserve">Pasos o acción práctica: </w:t>
      </w:r>
      <w:r>
        <w:t>Contrastar fecha con documentación académica.</w:t>
      </w:r>
    </w:p>
    <w:p>
      <w:pPr>
        <w:keepNext/>
      </w:pPr>
      <w:r>
        <w:rPr>
          <w:b/>
        </w:rPr>
        <w:t xml:space="preserve">Errores comunes: </w:t>
      </w:r>
      <w:r>
        <w:t>Usar la fecha de expedición material del título.</w:t>
      </w:r>
    </w:p>
    <w:p>
      <w:r>
        <w:rPr>
          <w:b/>
        </w:rPr>
        <w:t xml:space="preserve">Referencia normativa: </w:t>
      </w:r>
      <w:r>
        <w:t>D2, desarrollo de sus elementos/remisiones con D1. Art. 8.2.a).</w:t>
      </w:r>
    </w:p>
    <w:p>
      <w:pPr>
        <w:pStyle w:val="Heading3"/>
        <w:keepNext/>
      </w:pPr>
      <w:r>
        <w:t>012. ¿Qué ventana de doctorado se aplica al tipo A?</w:t>
      </w:r>
    </w:p>
    <w:p>
      <w:pPr>
        <w:keepNext/>
      </w:pPr>
      <w:r>
        <w:rPr>
          <w:b/>
        </w:rPr>
        <w:t xml:space="preserve">Dificultad: </w:t>
      </w:r>
      <w:r>
        <w:t>Media</w:t>
      </w:r>
    </w:p>
    <w:p>
      <w:pPr>
        <w:keepNext/>
      </w:pPr>
      <w:r>
        <w:rPr>
          <w:b/>
        </w:rPr>
        <w:t xml:space="preserve">Respuesta: </w:t>
      </w:r>
      <w:r>
        <w:t>El primer doctorado debe situarse del 1 de enero de 2016 al 31 de diciembre de 2024, salvo ampliación de la fecha inferior por interrupciones admisibles. El requisito se aplica a ambos IP si hay dos.</w:t>
      </w:r>
    </w:p>
    <w:p>
      <w:pPr>
        <w:keepNext/>
      </w:pPr>
      <w:r>
        <w:rPr>
          <w:b/>
        </w:rPr>
        <w:t xml:space="preserve">Pasos o acción práctica: </w:t>
      </w:r>
      <w:r>
        <w:t>Calcular la ventana de cada IP y conservar acreditaciones.</w:t>
      </w:r>
    </w:p>
    <w:p>
      <w:pPr>
        <w:keepNext/>
      </w:pPr>
      <w:r>
        <w:rPr>
          <w:b/>
        </w:rPr>
        <w:t xml:space="preserve">Errores comunes: </w:t>
      </w:r>
      <w:r>
        <w:t>Aplicar la ampliación para admitir un doctorado posterior a 2024.</w:t>
      </w:r>
    </w:p>
    <w:p>
      <w:r>
        <w:rPr>
          <w:b/>
        </w:rPr>
        <w:t xml:space="preserve">Referencia normativa: </w:t>
      </w:r>
      <w:r>
        <w:t>D2, desarrollo de sus elementos/remisiones con D1. Art. 8.3.b)-c).</w:t>
      </w:r>
    </w:p>
    <w:p>
      <w:pPr>
        <w:pStyle w:val="Heading3"/>
        <w:keepNext/>
      </w:pPr>
      <w:r>
        <w:t>013. ¿Importa haber dirigido proyectos anteriormente para optar al tipo A?</w:t>
      </w:r>
    </w:p>
    <w:p>
      <w:pPr>
        <w:keepNext/>
      </w:pPr>
      <w:r>
        <w:rPr>
          <w:b/>
        </w:rPr>
        <w:t xml:space="preserve">Dificultad: </w:t>
      </w:r>
      <w:r>
        <w:t>Compleja</w:t>
      </w:r>
    </w:p>
    <w:p>
      <w:pPr>
        <w:keepNext/>
      </w:pPr>
      <w:r>
        <w:rPr>
          <w:b/>
        </w:rPr>
        <w:t xml:space="preserve">Respuesta: </w:t>
      </w:r>
      <w:r>
        <w:t>Sí. No se admite haber ejercido como IP más de un año en las actuaciones y modalidades que identifica el artículo 8.3.a). La comprobación debe incluir antecedentes del Plan Estatal.</w:t>
      </w:r>
    </w:p>
    <w:p>
      <w:pPr>
        <w:keepNext/>
      </w:pPr>
      <w:r>
        <w:rPr>
          <w:b/>
        </w:rPr>
        <w:t xml:space="preserve">Pasos o acción práctica: </w:t>
      </w:r>
      <w:r>
        <w:t>Revisar duración efectiva de anteriores responsabilidades como IP.</w:t>
      </w:r>
    </w:p>
    <w:p>
      <w:pPr>
        <w:keepNext/>
      </w:pPr>
      <w:r>
        <w:rPr>
          <w:b/>
        </w:rPr>
        <w:t xml:space="preserve">Errores comunes: </w:t>
      </w:r>
      <w:r>
        <w:t>Comprobar solo la edad o la fecha del doctorado.</w:t>
      </w:r>
    </w:p>
    <w:p>
      <w:r>
        <w:rPr>
          <w:b/>
        </w:rPr>
        <w:t xml:space="preserve">Referencia normativa: </w:t>
      </w:r>
      <w:r>
        <w:t>D2, desarrollo de sus elementos/remisiones con D1. Art. 8.3.a); anexo V.1.</w:t>
      </w:r>
    </w:p>
    <w:p>
      <w:pPr>
        <w:pStyle w:val="Heading3"/>
        <w:keepNext/>
      </w:pPr>
      <w:r>
        <w:t>014. ¿Cómo se amplía la ventana del tipo A por nacimiento o adopción?</w:t>
      </w:r>
    </w:p>
    <w:p>
      <w:pPr>
        <w:keepNext/>
      </w:pPr>
      <w:r>
        <w:rPr>
          <w:b/>
        </w:rPr>
        <w:t xml:space="preserve">Dificultad: </w:t>
      </w:r>
      <w:r>
        <w:t>Media</w:t>
      </w:r>
    </w:p>
    <w:p>
      <w:pPr>
        <w:keepNext/>
      </w:pPr>
      <w:r>
        <w:rPr>
          <w:b/>
        </w:rPr>
        <w:t xml:space="preserve">Respuesta: </w:t>
      </w:r>
      <w:r>
        <w:t>Para las situaciones concretas que regula la convocatoria se computa un año por hijo, con el hecho causante entre el doctorado y el cierre. Otras interrupciones se calculan según el tiempo justificado y la equivalencia a jornada completa.</w:t>
      </w:r>
    </w:p>
    <w:p>
      <w:pPr>
        <w:keepNext/>
      </w:pPr>
      <w:r>
        <w:rPr>
          <w:b/>
        </w:rPr>
        <w:t xml:space="preserve">Pasos o acción práctica: </w:t>
      </w:r>
      <w:r>
        <w:t>Declarar cada causa y sus fechas.</w:t>
      </w:r>
    </w:p>
    <w:p>
      <w:pPr>
        <w:keepNext/>
      </w:pPr>
      <w:r>
        <w:rPr>
          <w:b/>
        </w:rPr>
        <w:t xml:space="preserve">Errores comunes: </w:t>
      </w:r>
      <w:r>
        <w:t>Sumar dos veces periodos que se solapan.</w:t>
      </w:r>
    </w:p>
    <w:p>
      <w:r>
        <w:rPr>
          <w:b/>
        </w:rPr>
        <w:t xml:space="preserve">Referencia normativa: </w:t>
      </w:r>
      <w:r>
        <w:t>D2, desarrollo de sus elementos/remisiones con D1. Art. 8.3.c).</w:t>
      </w:r>
    </w:p>
    <w:p>
      <w:pPr>
        <w:pStyle w:val="Heading3"/>
        <w:keepNext/>
      </w:pPr>
      <w:r>
        <w:t>015. ¿Hay que acreditar todas las interrupciones del tipo A al solicitar?</w:t>
      </w:r>
    </w:p>
    <w:p>
      <w:pPr>
        <w:keepNext/>
      </w:pPr>
      <w:r>
        <w:rPr>
          <w:b/>
        </w:rPr>
        <w:t xml:space="preserve">Dificultad: </w:t>
      </w:r>
      <w:r>
        <w:t>Media</w:t>
      </w:r>
    </w:p>
    <w:p>
      <w:pPr>
        <w:keepNext/>
      </w:pPr>
      <w:r>
        <w:rPr>
          <w:b/>
        </w:rPr>
        <w:t xml:space="preserve">Respuesta: </w:t>
      </w:r>
      <w:r>
        <w:t>Deben declararse y acreditarse, salvo las inferiores a tres meses equivalentes a jornada completa, cuya acreditación inicial no se exige. La AEI puede pedirla después.</w:t>
      </w:r>
    </w:p>
    <w:p>
      <w:pPr>
        <w:keepNext/>
      </w:pPr>
      <w:r>
        <w:rPr>
          <w:b/>
        </w:rPr>
        <w:t xml:space="preserve">Pasos o acción práctica: </w:t>
      </w:r>
      <w:r>
        <w:t>Conservar documentación incluso en los casos exentos de aportación inicial.</w:t>
      </w:r>
    </w:p>
    <w:p>
      <w:pPr>
        <w:keepNext/>
      </w:pPr>
      <w:r>
        <w:rPr>
          <w:b/>
        </w:rPr>
        <w:t xml:space="preserve">Errores comunes: </w:t>
      </w:r>
      <w:r>
        <w:t>Confundir exención de aportar con exención de declarar.</w:t>
      </w:r>
    </w:p>
    <w:p>
      <w:r>
        <w:rPr>
          <w:b/>
        </w:rPr>
        <w:t xml:space="preserve">Referencia normativa: </w:t>
      </w:r>
      <w:r>
        <w:t>D2, desarrollo de sus elementos/remisiones con D1. Arts. 8.3.c) y 18.3.a).</w:t>
      </w:r>
    </w:p>
    <w:p>
      <w:pPr>
        <w:pStyle w:val="Heading3"/>
        <w:keepNext/>
      </w:pPr>
      <w:r>
        <w:t>016. ¿Qué vinculación profesional necesita el IP?</w:t>
      </w:r>
    </w:p>
    <w:p>
      <w:pPr>
        <w:keepNext/>
      </w:pPr>
      <w:r>
        <w:rPr>
          <w:b/>
        </w:rPr>
        <w:t xml:space="preserve">Dificultad: </w:t>
      </w:r>
      <w:r>
        <w:t>Compleja</w:t>
      </w:r>
    </w:p>
    <w:p>
      <w:pPr>
        <w:keepNext/>
      </w:pPr>
      <w:r>
        <w:rPr>
          <w:b/>
        </w:rPr>
        <w:t xml:space="preserve">Respuesta: </w:t>
      </w:r>
      <w:r>
        <w:t>Debe cumplir las condiciones desde el cierre hasta el fin del proyecto. Existen reglas específicas para determinados contratos de recursos humanos y para expectativas de contratación obtenidas mediante selección competitiva.</w:t>
      </w:r>
    </w:p>
    <w:p>
      <w:pPr>
        <w:keepNext/>
      </w:pPr>
      <w:r>
        <w:rPr>
          <w:b/>
        </w:rPr>
        <w:t xml:space="preserve">Pasos o acción práctica: </w:t>
      </w:r>
      <w:r>
        <w:t>Examinar nombramiento, contrato, duración y excepción aplicable.</w:t>
      </w:r>
    </w:p>
    <w:p>
      <w:pPr>
        <w:keepNext/>
      </w:pPr>
      <w:r>
        <w:rPr>
          <w:b/>
        </w:rPr>
        <w:t xml:space="preserve">Errores comunes: </w:t>
      </w:r>
      <w:r>
        <w:t>Dar por suficiente una colaboración informal.</w:t>
      </w:r>
    </w:p>
    <w:p>
      <w:r>
        <w:rPr>
          <w:b/>
        </w:rPr>
        <w:t xml:space="preserve">Referencia normativa: </w:t>
      </w:r>
      <w:r>
        <w:t>D2, desarrollo de sus elementos/remisiones con D1. Art. 8.2.b).</w:t>
      </w:r>
    </w:p>
    <w:p>
      <w:pPr>
        <w:pStyle w:val="Heading3"/>
        <w:keepNext/>
      </w:pPr>
      <w:r>
        <w:t>017. ¿Puede ser IP una persona vinculada a otra universidad?</w:t>
      </w:r>
    </w:p>
    <w:p>
      <w:pPr>
        <w:keepNext/>
      </w:pPr>
      <w:r>
        <w:rPr>
          <w:b/>
        </w:rPr>
        <w:t xml:space="preserve">Dificultad: </w:t>
      </w:r>
      <w:r>
        <w:t>Compleja</w:t>
      </w:r>
    </w:p>
    <w:p>
      <w:pPr>
        <w:keepNext/>
      </w:pPr>
      <w:r>
        <w:rPr>
          <w:b/>
        </w:rPr>
        <w:t xml:space="preserve">Respuesta: </w:t>
      </w:r>
      <w:r>
        <w:t>Sí, si la otra entidad es elegible y autoriza la participación y el mantenimiento de la vinculación. La UVa debe custodiar la declaración de la representación legal de la entidad de origen.</w:t>
      </w:r>
    </w:p>
    <w:p>
      <w:pPr>
        <w:keepNext/>
      </w:pPr>
      <w:r>
        <w:rPr>
          <w:b/>
        </w:rPr>
        <w:t xml:space="preserve">Pasos o acción práctica: </w:t>
      </w:r>
      <w:r>
        <w:t>Recabar autorización institucional antes de firmar la solicitud.</w:t>
      </w:r>
    </w:p>
    <w:p>
      <w:pPr>
        <w:keepNext/>
      </w:pPr>
      <w:r>
        <w:rPr>
          <w:b/>
        </w:rPr>
        <w:t xml:space="preserve">Errores comunes: </w:t>
      </w:r>
      <w:r>
        <w:t>Sustituirla por un correo personal del investigador.</w:t>
      </w:r>
    </w:p>
    <w:p>
      <w:r>
        <w:rPr>
          <w:b/>
        </w:rPr>
        <w:t xml:space="preserve">Referencia normativa: </w:t>
      </w:r>
      <w:r>
        <w:t>D2, desarrollo de sus elementos/remisiones con D1. Art. 8.2.b).1.º.</w:t>
      </w:r>
    </w:p>
    <w:p>
      <w:pPr>
        <w:pStyle w:val="Heading3"/>
        <w:keepNext/>
      </w:pPr>
      <w:r>
        <w:t>018. ¿Basta una expectativa de contratación?</w:t>
      </w:r>
    </w:p>
    <w:p>
      <w:pPr>
        <w:keepNext/>
      </w:pPr>
      <w:r>
        <w:rPr>
          <w:b/>
        </w:rPr>
        <w:t xml:space="preserve">Dificultad: </w:t>
      </w:r>
      <w:r>
        <w:t>Compleja</w:t>
      </w:r>
    </w:p>
    <w:p>
      <w:pPr>
        <w:keepNext/>
      </w:pPr>
      <w:r>
        <w:rPr>
          <w:b/>
        </w:rPr>
        <w:t xml:space="preserve">Respuesta: </w:t>
      </w:r>
      <w:r>
        <w:t>Solo en los supuestos que contempla el artículo 8.2.b).3.º, respaldados por selección competitiva y documentación. La vinculación tiene que hacerse efectiva durante toda la ejecución.</w:t>
      </w:r>
    </w:p>
    <w:p>
      <w:pPr>
        <w:keepNext/>
      </w:pPr>
      <w:r>
        <w:rPr>
          <w:b/>
        </w:rPr>
        <w:t xml:space="preserve">Pasos o acción práctica: </w:t>
      </w:r>
      <w:r>
        <w:t>Conservar resolución o documento que sustente la expectativa.</w:t>
      </w:r>
    </w:p>
    <w:p>
      <w:pPr>
        <w:keepNext/>
      </w:pPr>
      <w:r>
        <w:rPr>
          <w:b/>
        </w:rPr>
        <w:t xml:space="preserve">Errores comunes: </w:t>
      </w:r>
      <w:r>
        <w:t>Equiparar una previsión de contratación con un proceso selectivo superado.</w:t>
      </w:r>
    </w:p>
    <w:p>
      <w:r>
        <w:rPr>
          <w:b/>
        </w:rPr>
        <w:t xml:space="preserve">Referencia normativa: </w:t>
      </w:r>
      <w:r>
        <w:t>D2, desarrollo de sus elementos/remisiones con D1. Art. 8.2.b).3.º.</w:t>
      </w:r>
    </w:p>
    <w:p>
      <w:pPr>
        <w:pStyle w:val="Heading3"/>
        <w:keepNext/>
      </w:pPr>
      <w:r>
        <w:t>019. ¿Puede ser IP una persona contratada con fondos de proyectos estatales?</w:t>
      </w:r>
    </w:p>
    <w:p>
      <w:pPr>
        <w:keepNext/>
      </w:pPr>
      <w:r>
        <w:rPr>
          <w:b/>
        </w:rPr>
        <w:t xml:space="preserve">Dificultad: </w:t>
      </w:r>
      <w:r>
        <w:t>Compleja</w:t>
      </w:r>
    </w:p>
    <w:p>
      <w:pPr>
        <w:keepNext/>
      </w:pPr>
      <w:r>
        <w:rPr>
          <w:b/>
        </w:rPr>
        <w:t xml:space="preserve">Respuesta: </w:t>
      </w:r>
      <w:r>
        <w:t>Como regla, no; se exceptúan determinadas ayudas doctorales de recursos humanos y las de excelencia institucional previstas en la convocatoria. Debe comprobarse la fuente concreta de financiación contractual.</w:t>
      </w:r>
    </w:p>
    <w:p>
      <w:pPr>
        <w:keepNext/>
      </w:pPr>
      <w:r>
        <w:rPr>
          <w:b/>
        </w:rPr>
        <w:t xml:space="preserve">Pasos o acción práctica: </w:t>
      </w:r>
      <w:r>
        <w:t>Identificar convocatoria que financia el contrato y su excepción.</w:t>
      </w:r>
    </w:p>
    <w:p>
      <w:pPr>
        <w:keepNext/>
      </w:pPr>
      <w:r>
        <w:rPr>
          <w:b/>
        </w:rPr>
        <w:t xml:space="preserve">Errores comunes: </w:t>
      </w:r>
      <w:r>
        <w:t>Presumir que cualquier contrato posdoctoral está exceptuado.</w:t>
      </w:r>
    </w:p>
    <w:p>
      <w:r>
        <w:rPr>
          <w:b/>
        </w:rPr>
        <w:t xml:space="preserve">Referencia normativa: </w:t>
      </w:r>
      <w:r>
        <w:t>D2, desarrollo de sus elementos/remisiones con D1. Art. 8.2.c).</w:t>
      </w:r>
    </w:p>
    <w:p>
      <w:pPr>
        <w:pStyle w:val="Heading3"/>
        <w:keepNext/>
      </w:pPr>
      <w:r>
        <w:t>020. ¿En cuántas solicitudes puede figurar un IP?</w:t>
      </w:r>
    </w:p>
    <w:p>
      <w:pPr>
        <w:keepNext/>
      </w:pPr>
      <w:r>
        <w:rPr>
          <w:b/>
        </w:rPr>
        <w:t xml:space="preserve">Dificultad: </w:t>
      </w:r>
      <w:r>
        <w:t>Compleja</w:t>
      </w:r>
    </w:p>
    <w:p>
      <w:pPr>
        <w:keepNext/>
      </w:pPr>
      <w:r>
        <w:rPr>
          <w:b/>
        </w:rPr>
        <w:t xml:space="preserve">Respuesta: </w:t>
      </w:r>
      <w:r>
        <w:t>Solo en una. Si figura como IP, no puede aparecer como IP ni como miembro del equipo de investigación en otra solicitud de esta convocatoria.</w:t>
      </w:r>
    </w:p>
    <w:p>
      <w:pPr>
        <w:keepNext/>
      </w:pPr>
      <w:r>
        <w:rPr>
          <w:b/>
        </w:rPr>
        <w:t xml:space="preserve">Pasos o acción práctica: </w:t>
      </w:r>
      <w:r>
        <w:t>Cruzar todas las solicitudes de la entidad y las participaciones externas.</w:t>
      </w:r>
    </w:p>
    <w:p>
      <w:pPr>
        <w:keepNext/>
      </w:pPr>
      <w:r>
        <w:rPr>
          <w:b/>
        </w:rPr>
        <w:t xml:space="preserve">Errores comunes: </w:t>
      </w:r>
      <w:r>
        <w:t>Añadir al IP de otro proyecto como miembro para reforzar el equipo.</w:t>
      </w:r>
    </w:p>
    <w:p>
      <w:r>
        <w:rPr>
          <w:b/>
        </w:rPr>
        <w:t xml:space="preserve">Referencia normativa: </w:t>
      </w:r>
      <w:r>
        <w:t>D2, desarrollo de sus elementos/remisiones con D1. Art. 8.2.d).1.º.</w:t>
      </w:r>
    </w:p>
    <w:p>
      <w:pPr>
        <w:pStyle w:val="Heading3"/>
        <w:keepNext/>
      </w:pPr>
      <w:r>
        <w:t>021. ¿Qué proyectos previos son incompatibles con ser IP en A, B o RTA?</w:t>
      </w:r>
    </w:p>
    <w:p>
      <w:pPr>
        <w:keepNext/>
      </w:pPr>
      <w:r>
        <w:rPr>
          <w:b/>
        </w:rPr>
        <w:t xml:space="preserve">Dificultad: </w:t>
      </w:r>
      <w:r>
        <w:t>Compleja</w:t>
      </w:r>
    </w:p>
    <w:p>
      <w:pPr>
        <w:keepNext/>
      </w:pPr>
      <w:r>
        <w:rPr>
          <w:b/>
        </w:rPr>
        <w:t xml:space="preserve">Respuesta: </w:t>
      </w:r>
      <w:r>
        <w:t>Los recogidos en el anexo V.1 si se participa como IP o miembro del equipo y la fecha final original de concesión es posterior al 31 de agosto de 2027. No se computan las prórrogas para esa fecha.</w:t>
      </w:r>
    </w:p>
    <w:p>
      <w:pPr>
        <w:keepNext/>
      </w:pPr>
      <w:r>
        <w:rPr>
          <w:b/>
        </w:rPr>
        <w:t xml:space="preserve">Pasos o acción práctica: </w:t>
      </w:r>
      <w:r>
        <w:t>Revisar resolución inicial de cada proyecto y papel desempeñado.</w:t>
      </w:r>
    </w:p>
    <w:p>
      <w:pPr>
        <w:keepNext/>
      </w:pPr>
      <w:r>
        <w:rPr>
          <w:b/>
        </w:rPr>
        <w:t xml:space="preserve">Errores comunes: </w:t>
      </w:r>
      <w:r>
        <w:t>Usar automáticamente la fecha de fin prorrogada.</w:t>
      </w:r>
    </w:p>
    <w:p>
      <w:r>
        <w:rPr>
          <w:b/>
        </w:rPr>
        <w:t xml:space="preserve">Referencia normativa: </w:t>
      </w:r>
      <w:r>
        <w:t>D2, desarrollo de sus elementos/remisiones con D1. Art. 8.2.d).2.º; anexo V.1.</w:t>
      </w:r>
    </w:p>
    <w:p>
      <w:pPr>
        <w:pStyle w:val="Heading3"/>
        <w:keepNext/>
      </w:pPr>
      <w:r>
        <w:t>022. ¿Se aplica la misma regla de incompatibilidad a los proyectos I?</w:t>
      </w:r>
    </w:p>
    <w:p>
      <w:pPr>
        <w:keepNext/>
      </w:pPr>
      <w:r>
        <w:rPr>
          <w:b/>
        </w:rPr>
        <w:t xml:space="preserve">Dificultad: </w:t>
      </w:r>
      <w:r>
        <w:t>Compleja</w:t>
      </w:r>
    </w:p>
    <w:p>
      <w:pPr>
        <w:keepNext/>
      </w:pPr>
      <w:r>
        <w:rPr>
          <w:b/>
        </w:rPr>
        <w:t xml:space="preserve">Respuesta: </w:t>
      </w:r>
      <w:r>
        <w:t>No. Deben revisarse las convocatorias del anexo V.2 y las reglas específicas del tipo I, que no incorporan el corte general de finalización del 31 de agosto de 2027.</w:t>
      </w:r>
    </w:p>
    <w:p>
      <w:pPr>
        <w:keepNext/>
      </w:pPr>
      <w:r>
        <w:rPr>
          <w:b/>
        </w:rPr>
        <w:t xml:space="preserve">Pasos o acción práctica: </w:t>
      </w:r>
      <w:r>
        <w:t>Utilizar la lista propia del tipo I.</w:t>
      </w:r>
    </w:p>
    <w:p>
      <w:pPr>
        <w:keepNext/>
      </w:pPr>
      <w:r>
        <w:rPr>
          <w:b/>
        </w:rPr>
        <w:t xml:space="preserve">Errores comunes: </w:t>
      </w:r>
      <w:r>
        <w:t>Aplicar al proyecto internacional el filtro temporal de los A y B.</w:t>
      </w:r>
    </w:p>
    <w:p>
      <w:r>
        <w:rPr>
          <w:b/>
        </w:rPr>
        <w:t xml:space="preserve">Referencia normativa: </w:t>
      </w:r>
      <w:r>
        <w:t>D2, desarrollo de sus elementos/remisiones con D1. Arts. 8.2.d).2.º y 9.1.d); anexo V.2.</w:t>
      </w:r>
    </w:p>
    <w:p>
      <w:pPr>
        <w:pStyle w:val="Heading3"/>
        <w:keepNext/>
      </w:pPr>
      <w:r>
        <w:t>023. ¿La participación en Horizonte Europa impide presentarse?</w:t>
      </w:r>
    </w:p>
    <w:p>
      <w:pPr>
        <w:keepNext/>
      </w:pPr>
      <w:r>
        <w:rPr>
          <w:b/>
        </w:rPr>
        <w:t xml:space="preserve">Dificultad: </w:t>
      </w:r>
      <w:r>
        <w:t>Compleja</w:t>
      </w:r>
    </w:p>
    <w:p>
      <w:pPr>
        <w:keepNext/>
      </w:pPr>
      <w:r>
        <w:rPr>
          <w:b/>
        </w:rPr>
        <w:t xml:space="preserve">Respuesta: </w:t>
      </w:r>
      <w:r>
        <w:t>No constituye incompatibilidad por sí misma, siempre que se respete el límite anual de dedicación laboral. Tampoco deben financiarse indebidamente los mismos costes.</w:t>
      </w:r>
    </w:p>
    <w:p>
      <w:pPr>
        <w:keepNext/>
      </w:pPr>
      <w:r>
        <w:rPr>
          <w:b/>
        </w:rPr>
        <w:t xml:space="preserve">Pasos o acción práctica: </w:t>
      </w:r>
      <w:r>
        <w:t>Comprobar dedicación acumulada y financiación concurrente.</w:t>
      </w:r>
    </w:p>
    <w:p>
      <w:pPr>
        <w:keepNext/>
      </w:pPr>
      <w:r>
        <w:rPr>
          <w:b/>
        </w:rPr>
        <w:t xml:space="preserve">Errores comunes: </w:t>
      </w:r>
      <w:r>
        <w:t>Confundir compatibilidad de participación con libertad de duplicar costes.</w:t>
      </w:r>
    </w:p>
    <w:p>
      <w:r>
        <w:rPr>
          <w:b/>
        </w:rPr>
        <w:t xml:space="preserve">Referencia normativa: </w:t>
      </w:r>
      <w:r>
        <w:t>D2, desarrollo de sus elementos/remisiones con D1. Arts. 8.2.d).3.º, 9.1.d).5.º y 16.1.</w:t>
      </w:r>
    </w:p>
    <w:p>
      <w:pPr>
        <w:pStyle w:val="Heading3"/>
        <w:keepNext/>
      </w:pPr>
      <w:r>
        <w:t>024. ¿Es necesario ser doctor para integrar el equipo de investigación?</w:t>
      </w:r>
    </w:p>
    <w:p>
      <w:pPr>
        <w:keepNext/>
      </w:pPr>
      <w:r>
        <w:rPr>
          <w:b/>
        </w:rPr>
        <w:t xml:space="preserve">Dificultad: </w:t>
      </w:r>
      <w:r>
        <w:t>Compleja</w:t>
      </w:r>
    </w:p>
    <w:p>
      <w:pPr>
        <w:keepNext/>
      </w:pPr>
      <w:r>
        <w:rPr>
          <w:b/>
        </w:rPr>
        <w:t xml:space="preserve">Respuesta: </w:t>
      </w:r>
      <w:r>
        <w:t>No. También se admiten determinadas titulaciones universitarias; además hay que cumplir vinculación, financiación contractual y compatibilidades.</w:t>
      </w:r>
    </w:p>
    <w:p>
      <w:pPr>
        <w:keepNext/>
      </w:pPr>
      <w:r>
        <w:rPr>
          <w:b/>
        </w:rPr>
        <w:t xml:space="preserve">Pasos o acción práctica: </w:t>
      </w:r>
      <w:r>
        <w:t>Verificar titulación y cada condición restante.</w:t>
      </w:r>
    </w:p>
    <w:p>
      <w:pPr>
        <w:keepNext/>
      </w:pPr>
      <w:r>
        <w:rPr>
          <w:b/>
        </w:rPr>
        <w:t xml:space="preserve">Errores comunes: </w:t>
      </w:r>
      <w:r>
        <w:t>Incluir a cualquier titulado sin comprobar su vínculo.</w:t>
      </w:r>
    </w:p>
    <w:p>
      <w:r>
        <w:rPr>
          <w:b/>
        </w:rPr>
        <w:t xml:space="preserve">Referencia normativa: </w:t>
      </w:r>
      <w:r>
        <w:t>D2, desarrollo de sus elementos/remisiones con D1. Art. 9.1.a)-d).</w:t>
      </w:r>
    </w:p>
    <w:p>
      <w:pPr>
        <w:pStyle w:val="Heading3"/>
        <w:keepNext/>
      </w:pPr>
      <w:r>
        <w:t>025. ¿En cuántas solicitudes puede participar un miembro del equipo?</w:t>
      </w:r>
    </w:p>
    <w:p>
      <w:pPr>
        <w:keepNext/>
      </w:pPr>
      <w:r>
        <w:rPr>
          <w:b/>
        </w:rPr>
        <w:t xml:space="preserve">Dificultad: </w:t>
      </w:r>
      <w:r>
        <w:t>Compleja</w:t>
      </w:r>
    </w:p>
    <w:p>
      <w:pPr>
        <w:keepNext/>
      </w:pPr>
      <w:r>
        <w:rPr>
          <w:b/>
        </w:rPr>
        <w:t xml:space="preserve">Respuesta: </w:t>
      </w:r>
      <w:r>
        <w:t>El máximo general es dos, pero baja a una o a ninguna según su participación en proyectos anteriores incompatibles. También se excluye la simultaneidad con una solicitud como IP.</w:t>
      </w:r>
    </w:p>
    <w:p>
      <w:pPr>
        <w:keepNext/>
      </w:pPr>
      <w:r>
        <w:rPr>
          <w:b/>
        </w:rPr>
        <w:t xml:space="preserve">Pasos o acción práctica: </w:t>
      </w:r>
      <w:r>
        <w:t>Construir una ficha individual de compatibilidad.</w:t>
      </w:r>
    </w:p>
    <w:p>
      <w:pPr>
        <w:keepNext/>
      </w:pPr>
      <w:r>
        <w:rPr>
          <w:b/>
        </w:rPr>
        <w:t xml:space="preserve">Errores comunes: </w:t>
      </w:r>
      <w:r>
        <w:t>Interpretar dos como derecho incondicional.</w:t>
      </w:r>
    </w:p>
    <w:p>
      <w:r>
        <w:rPr>
          <w:b/>
        </w:rPr>
        <w:t xml:space="preserve">Referencia normativa: </w:t>
      </w:r>
      <w:r>
        <w:t>D2, desarrollo de sus elementos/remisiones con D1. Art. 9.1.d).1.º-4.º; anexo V.</w:t>
      </w:r>
    </w:p>
    <w:p>
      <w:pPr>
        <w:pStyle w:val="Heading3"/>
        <w:keepNext/>
      </w:pPr>
      <w:r>
        <w:t>026. ¿Quién puede estar en el equipo de trabajo?</w:t>
      </w:r>
    </w:p>
    <w:p>
      <w:pPr>
        <w:keepNext/>
      </w:pPr>
      <w:r>
        <w:rPr>
          <w:b/>
        </w:rPr>
        <w:t xml:space="preserve">Dificultad: </w:t>
      </w:r>
      <w:r>
        <w:t>Media</w:t>
      </w:r>
    </w:p>
    <w:p>
      <w:pPr>
        <w:keepNext/>
      </w:pPr>
      <w:r>
        <w:rPr>
          <w:b/>
        </w:rPr>
        <w:t xml:space="preserve">Respuesta: </w:t>
      </w:r>
      <w:r>
        <w:t>Entre otros, predoctorales, técnicos y determinados colaboradores sin la vinculación exigida o de entidades extranjeras. El artículo 9.3 restringe su uso y excluye a personas incompatibles.</w:t>
      </w:r>
    </w:p>
    <w:p>
      <w:pPr>
        <w:keepNext/>
      </w:pPr>
      <w:r>
        <w:rPr>
          <w:b/>
        </w:rPr>
        <w:t xml:space="preserve">Pasos o acción práctica: </w:t>
      </w:r>
      <w:r>
        <w:t>Justificar perfil, actividades y encaje legal de cada colaborador.</w:t>
      </w:r>
    </w:p>
    <w:p>
      <w:pPr>
        <w:keepNext/>
      </w:pPr>
      <w:r>
        <w:rPr>
          <w:b/>
        </w:rPr>
        <w:t xml:space="preserve">Errores comunes: </w:t>
      </w:r>
      <w:r>
        <w:t>Usarlo como vía para eludir incompatibilidades del equipo investigador.</w:t>
      </w:r>
    </w:p>
    <w:p>
      <w:r>
        <w:rPr>
          <w:b/>
        </w:rPr>
        <w:t xml:space="preserve">Referencia normativa: </w:t>
      </w:r>
      <w:r>
        <w:t>D2, desarrollo de sus elementos/remisiones con D1. Art. 9.3.</w:t>
      </w:r>
    </w:p>
    <w:p>
      <w:pPr>
        <w:pStyle w:val="Heading3"/>
        <w:keepNext/>
      </w:pPr>
      <w:r>
        <w:t>027. ¿Qué ocurre si uno de los dos IP no cumple los requisitos?</w:t>
      </w:r>
    </w:p>
    <w:p>
      <w:pPr>
        <w:keepNext/>
      </w:pPr>
      <w:r>
        <w:rPr>
          <w:b/>
        </w:rPr>
        <w:t xml:space="preserve">Dificultad: </w:t>
      </w:r>
      <w:r>
        <w:t>Media</w:t>
      </w:r>
    </w:p>
    <w:p>
      <w:pPr>
        <w:keepNext/>
      </w:pPr>
      <w:r>
        <w:rPr>
          <w:b/>
        </w:rPr>
        <w:t xml:space="preserve">Respuesta: </w:t>
      </w:r>
      <w:r>
        <w:t>Puede excluirse a ese IP y admitirse la solicitud con el otro. No es una garantía de financiación: debe poder ejecutarse el proyecto con una sola dirección.</w:t>
      </w:r>
    </w:p>
    <w:p>
      <w:pPr>
        <w:keepNext/>
      </w:pPr>
      <w:r>
        <w:rPr>
          <w:b/>
        </w:rPr>
        <w:t xml:space="preserve">Pasos o acción práctica: </w:t>
      </w:r>
      <w:r>
        <w:t>Revisar capacidad del IP restante y atender la decisión de la AEI.</w:t>
      </w:r>
    </w:p>
    <w:p>
      <w:pPr>
        <w:keepNext/>
      </w:pPr>
      <w:r>
        <w:rPr>
          <w:b/>
        </w:rPr>
        <w:t xml:space="preserve">Errores comunes: </w:t>
      </w:r>
      <w:r>
        <w:t>Dar por automáticamente excluida o automáticamente válida toda la propuesta.</w:t>
      </w:r>
    </w:p>
    <w:p>
      <w:r>
        <w:rPr>
          <w:b/>
        </w:rPr>
        <w:t xml:space="preserve">Referencia normativa: </w:t>
      </w:r>
      <w:r>
        <w:t>D2, desarrollo de sus elementos/remisiones con D1. Arts. 8.5 y 20.2.</w:t>
      </w:r>
    </w:p>
    <w:p>
      <w:pPr>
        <w:pStyle w:val="Heading2"/>
      </w:pPr>
      <w:r>
        <w:t>Financiación y presupuesto</w:t>
      </w:r>
    </w:p>
    <w:p>
      <w:pPr>
        <w:pStyle w:val="Heading3"/>
        <w:keepNext/>
      </w:pPr>
      <w:r>
        <w:t>028. ¿Cuál es la dotación global de la convocatoria?</w:t>
      </w:r>
    </w:p>
    <w:p>
      <w:pPr>
        <w:keepNext/>
      </w:pPr>
      <w:r>
        <w:rPr>
          <w:b/>
        </w:rPr>
        <w:t xml:space="preserve">Dificultad: </w:t>
      </w:r>
      <w:r>
        <w:t>Fácil</w:t>
      </w:r>
    </w:p>
    <w:p>
      <w:pPr>
        <w:keepNext/>
      </w:pPr>
      <w:r>
        <w:rPr>
          <w:b/>
        </w:rPr>
        <w:t xml:space="preserve">Respuesta: </w:t>
      </w:r>
      <w:r>
        <w:t>El máximo inicial es de 724 millones de euros para las ayudas de la convocatoria. Esa cifra no es el límite de un proyecto ni genera derecho individual a financiación.</w:t>
      </w:r>
    </w:p>
    <w:p>
      <w:pPr>
        <w:keepNext/>
      </w:pPr>
      <w:r>
        <w:rPr>
          <w:b/>
        </w:rPr>
        <w:t xml:space="preserve">Pasos o acción práctica: </w:t>
      </w:r>
      <w:r>
        <w:t>Preparar un presupuesto ligado a objetivos y actividades.</w:t>
      </w:r>
    </w:p>
    <w:p>
      <w:pPr>
        <w:keepNext/>
      </w:pPr>
      <w:r>
        <w:rPr>
          <w:b/>
        </w:rPr>
        <w:t xml:space="preserve">Errores comunes: </w:t>
      </w:r>
      <w:r>
        <w:t>Repartir teóricamente la dotación global entre solicitantes.</w:t>
      </w:r>
    </w:p>
    <w:p>
      <w:r>
        <w:rPr>
          <w:b/>
        </w:rPr>
        <w:t xml:space="preserve">Referencia normativa: </w:t>
      </w:r>
      <w:r>
        <w:t>D2, desarrollo de sus elementos/remisiones con D1. Art. 15.1; extracto, Cuarto.</w:t>
      </w:r>
    </w:p>
    <w:p>
      <w:pPr>
        <w:pStyle w:val="Heading3"/>
        <w:keepNext/>
      </w:pPr>
      <w:r>
        <w:t>029. ¿Puede aumentar la dotación global?</w:t>
      </w:r>
    </w:p>
    <w:p>
      <w:pPr>
        <w:keepNext/>
      </w:pPr>
      <w:r>
        <w:rPr>
          <w:b/>
        </w:rPr>
        <w:t xml:space="preserve">Dificultad: </w:t>
      </w:r>
      <w:r>
        <w:t>Media</w:t>
      </w:r>
    </w:p>
    <w:p>
      <w:pPr>
        <w:keepNext/>
      </w:pPr>
      <w:r>
        <w:rPr>
          <w:b/>
        </w:rPr>
        <w:t xml:space="preserve">Respuesta: </w:t>
      </w:r>
      <w:r>
        <w:t>Puede incrementarse hasta 50 millones de euros si concurren las condiciones presupuestarias previstas antes de la concesión. El aumento no abre un nuevo plazo de solicitudes.</w:t>
      </w:r>
    </w:p>
    <w:p>
      <w:pPr>
        <w:keepNext/>
      </w:pPr>
      <w:r>
        <w:rPr>
          <w:b/>
        </w:rPr>
        <w:t xml:space="preserve">Pasos o acción práctica: </w:t>
      </w:r>
      <w:r>
        <w:t>Vigilar la publicación definitiva de créditos.</w:t>
      </w:r>
    </w:p>
    <w:p>
      <w:pPr>
        <w:keepNext/>
      </w:pPr>
      <w:r>
        <w:rPr>
          <w:b/>
        </w:rPr>
        <w:t xml:space="preserve">Errores comunes: </w:t>
      </w:r>
      <w:r>
        <w:t>Esperar una reapertura por incremento presupuestario.</w:t>
      </w:r>
    </w:p>
    <w:p>
      <w:r>
        <w:rPr>
          <w:b/>
        </w:rPr>
        <w:t xml:space="preserve">Referencia normativa: </w:t>
      </w:r>
      <w:r>
        <w:t>D2, desarrollo de sus elementos/remisiones con D1. Art. 15.3-5.</w:t>
      </w:r>
    </w:p>
    <w:p>
      <w:pPr>
        <w:pStyle w:val="Heading3"/>
        <w:keepNext/>
      </w:pPr>
      <w:r>
        <w:t>030. ¿Qué significa presentar a costes marginales?</w:t>
      </w:r>
    </w:p>
    <w:p>
      <w:pPr>
        <w:keepNext/>
      </w:pPr>
      <w:r>
        <w:rPr>
          <w:b/>
        </w:rPr>
        <w:t xml:space="preserve">Dificultad: </w:t>
      </w:r>
      <w:r>
        <w:t>Media</w:t>
      </w:r>
    </w:p>
    <w:p>
      <w:pPr>
        <w:keepNext/>
      </w:pPr>
      <w:r>
        <w:rPr>
          <w:b/>
        </w:rPr>
        <w:t xml:space="preserve">Respuesta: </w:t>
      </w:r>
      <w:r>
        <w:t>Solo se plantea la financiación de costes admisibles adicionales en los términos del artículo 11. La ayuda puede cubrir hasta el 100 %, pero la cuantía final depende de evaluación y crédito disponible.</w:t>
      </w:r>
    </w:p>
    <w:p>
      <w:pPr>
        <w:keepNext/>
      </w:pPr>
      <w:r>
        <w:rPr>
          <w:b/>
        </w:rPr>
        <w:t xml:space="preserve">Pasos o acción práctica: </w:t>
      </w:r>
      <w:r>
        <w:t>Excluir costes de estructura no admitidos como directos.</w:t>
      </w:r>
    </w:p>
    <w:p>
      <w:pPr>
        <w:keepNext/>
      </w:pPr>
      <w:r>
        <w:rPr>
          <w:b/>
        </w:rPr>
        <w:t xml:space="preserve">Errores comunes: </w:t>
      </w:r>
      <w:r>
        <w:t>Presupuestar el coste total habitual del equipo como si todo fuera elegible.</w:t>
      </w:r>
    </w:p>
    <w:p>
      <w:r>
        <w:rPr>
          <w:b/>
        </w:rPr>
        <w:t xml:space="preserve">Referencia normativa: </w:t>
      </w:r>
      <w:r>
        <w:t>D2, desarrollo de sus elementos/remisiones con D1. Arts. 11.1 y 14.2.</w:t>
      </w:r>
    </w:p>
    <w:p>
      <w:pPr>
        <w:pStyle w:val="Heading3"/>
        <w:keepNext/>
      </w:pPr>
      <w:r>
        <w:t>031. ¿La financiación es una subvención o un préstamo?</w:t>
      </w:r>
    </w:p>
    <w:p>
      <w:pPr>
        <w:keepNext/>
      </w:pPr>
      <w:r>
        <w:rPr>
          <w:b/>
        </w:rPr>
        <w:t xml:space="preserve">Dificultad: </w:t>
      </w:r>
      <w:r>
        <w:t>Media</w:t>
      </w:r>
    </w:p>
    <w:p>
      <w:pPr>
        <w:keepNext/>
      </w:pPr>
      <w:r>
        <w:rPr>
          <w:b/>
        </w:rPr>
        <w:t xml:space="preserve">Respuesta: </w:t>
      </w:r>
      <w:r>
        <w:t>Las ayudas se conceden como subvenciones. No se exigen garantías, sin perjuicio de los controles, condiciones de pago y posibles reintegros.</w:t>
      </w:r>
    </w:p>
    <w:p>
      <w:pPr>
        <w:keepNext/>
      </w:pPr>
      <w:r>
        <w:rPr>
          <w:b/>
        </w:rPr>
        <w:t xml:space="preserve">Pasos o acción práctica: </w:t>
      </w:r>
      <w:r>
        <w:t>Registrar las condiciones económicas de la concesión.</w:t>
      </w:r>
    </w:p>
    <w:p>
      <w:pPr>
        <w:keepNext/>
      </w:pPr>
      <w:r>
        <w:rPr>
          <w:b/>
        </w:rPr>
        <w:t xml:space="preserve">Errores comunes: </w:t>
      </w:r>
      <w:r>
        <w:t>Considerar el anticipo un ingreso incondicionado.</w:t>
      </w:r>
    </w:p>
    <w:p>
      <w:r>
        <w:rPr>
          <w:b/>
        </w:rPr>
        <w:t xml:space="preserve">Referencia normativa: </w:t>
      </w:r>
      <w:r>
        <w:t>D2, desarrollo de sus elementos/remisiones con D1. Art. 14.1 y 14.4.</w:t>
      </w:r>
    </w:p>
    <w:p>
      <w:pPr>
        <w:pStyle w:val="Heading3"/>
        <w:keepNext/>
      </w:pPr>
      <w:r>
        <w:t>032. ¿La convocatoria permite otras ayudas para la misma actividad?</w:t>
      </w:r>
    </w:p>
    <w:p>
      <w:pPr>
        <w:keepNext/>
      </w:pPr>
      <w:r>
        <w:rPr>
          <w:b/>
        </w:rPr>
        <w:t xml:space="preserve">Dificultad: </w:t>
      </w:r>
      <w:r>
        <w:t>Media</w:t>
      </w:r>
    </w:p>
    <w:p>
      <w:pPr>
        <w:keepNext/>
      </w:pPr>
      <w:r>
        <w:rPr>
          <w:b/>
        </w:rPr>
        <w:t xml:space="preserve">Respuesta: </w:t>
      </w:r>
      <w:r>
        <w:t>Sí, dentro de los límites del coste de la actividad y del presupuesto solicitado. La concurrencia debe comunicarse cuando se produzca, y cada gasto debe quedar correctamente financiado.</w:t>
      </w:r>
    </w:p>
    <w:p>
      <w:pPr>
        <w:keepNext/>
      </w:pPr>
      <w:r>
        <w:rPr>
          <w:b/>
        </w:rPr>
        <w:t xml:space="preserve">Pasos o acción práctica: </w:t>
      </w:r>
      <w:r>
        <w:t>Mantener una matriz de financiación y comunicar ingresos concurrentes.</w:t>
      </w:r>
    </w:p>
    <w:p>
      <w:pPr>
        <w:keepNext/>
      </w:pPr>
      <w:r>
        <w:rPr>
          <w:b/>
        </w:rPr>
        <w:t xml:space="preserve">Errores comunes: </w:t>
      </w:r>
      <w:r>
        <w:t>Declarar otras ayudas solo al final.</w:t>
      </w:r>
    </w:p>
    <w:p>
      <w:r>
        <w:rPr>
          <w:b/>
        </w:rPr>
        <w:t xml:space="preserve">Referencia normativa: </w:t>
      </w:r>
      <w:r>
        <w:t>D2, desarrollo de sus elementos/remisiones con D1. Art. 16.1.</w:t>
      </w:r>
    </w:p>
    <w:p>
      <w:pPr>
        <w:pStyle w:val="Heading2"/>
      </w:pPr>
      <w:r>
        <w:t>Presentación y plazos</w:t>
      </w:r>
    </w:p>
    <w:p>
      <w:pPr>
        <w:pStyle w:val="Heading3"/>
        <w:keepNext/>
      </w:pPr>
      <w:r>
        <w:t>033. ¿Cuándo se abre y se cierra el plazo de solicitudes?</w:t>
      </w:r>
    </w:p>
    <w:p>
      <w:pPr>
        <w:keepNext/>
      </w:pPr>
      <w:r>
        <w:rPr>
          <w:b/>
        </w:rPr>
        <w:t xml:space="preserve">Dificultad: </w:t>
      </w:r>
      <w:r>
        <w:t>Fácil</w:t>
      </w:r>
    </w:p>
    <w:p>
      <w:pPr>
        <w:keepNext/>
      </w:pPr>
      <w:r>
        <w:rPr>
          <w:b/>
        </w:rPr>
        <w:t xml:space="preserve">Respuesta: </w:t>
      </w:r>
      <w:r>
        <w:t>Se abre el 3 de noviembre de 2026 y termina el 24 de noviembre de 2026 a las 14:00, hora peninsular española. El cierre comprende la actuación del IP y la firma y registro institucional.</w:t>
      </w:r>
    </w:p>
    <w:p>
      <w:pPr>
        <w:keepNext/>
      </w:pPr>
      <w:r>
        <w:rPr>
          <w:b/>
        </w:rPr>
        <w:t xml:space="preserve">Pasos o acción práctica: </w:t>
      </w:r>
      <w:r>
        <w:t>Planificar cierre interno con margen para revisión y firma.</w:t>
      </w:r>
    </w:p>
    <w:p>
      <w:pPr>
        <w:keepNext/>
      </w:pPr>
      <w:r>
        <w:rPr>
          <w:b/>
        </w:rPr>
        <w:t xml:space="preserve">Errores comunes: </w:t>
      </w:r>
      <w:r>
        <w:t>Dejar la firma del representante para después de las 14:00.</w:t>
      </w:r>
    </w:p>
    <w:p>
      <w:r>
        <w:rPr>
          <w:b/>
        </w:rPr>
        <w:t xml:space="preserve">Referencia normativa: </w:t>
      </w:r>
      <w:r>
        <w:t>D2, desarrollo de sus elementos/remisiones con D1. Art. 17.1; extracto, Quinto.</w:t>
      </w:r>
    </w:p>
    <w:p>
      <w:pPr>
        <w:pStyle w:val="Heading3"/>
        <w:keepNext/>
      </w:pPr>
      <w:r>
        <w:t>034. ¿Existe un plazo separado para la representación legal?</w:t>
      </w:r>
    </w:p>
    <w:p>
      <w:pPr>
        <w:keepNext/>
      </w:pPr>
      <w:r>
        <w:rPr>
          <w:b/>
        </w:rPr>
        <w:t xml:space="preserve">Dificultad: </w:t>
      </w:r>
      <w:r>
        <w:t>Fácil</w:t>
      </w:r>
    </w:p>
    <w:p>
      <w:pPr>
        <w:keepNext/>
      </w:pPr>
      <w:r>
        <w:rPr>
          <w:b/>
        </w:rPr>
        <w:t xml:space="preserve">Respuesta: </w:t>
      </w:r>
      <w:r>
        <w:t>No. El plazo es único para preparación, envío, firma y registro. La actuación del IP no reserva tiempo adicional para la universidad.</w:t>
      </w:r>
    </w:p>
    <w:p>
      <w:pPr>
        <w:keepNext/>
      </w:pPr>
      <w:r>
        <w:rPr>
          <w:b/>
        </w:rPr>
        <w:t xml:space="preserve">Pasos o acción práctica: </w:t>
      </w:r>
      <w:r>
        <w:t>Confirmar agenda de firma y sustituciones antes del cierre.</w:t>
      </w:r>
    </w:p>
    <w:p>
      <w:pPr>
        <w:keepNext/>
      </w:pPr>
      <w:r>
        <w:rPr>
          <w:b/>
        </w:rPr>
        <w:t xml:space="preserve">Errores comunes: </w:t>
      </w:r>
      <w:r>
        <w:t>Pensar que el representante dispone de días adicionales.</w:t>
      </w:r>
    </w:p>
    <w:p>
      <w:r>
        <w:rPr>
          <w:b/>
        </w:rPr>
        <w:t xml:space="preserve">Referencia normativa: </w:t>
      </w:r>
      <w:r>
        <w:t>D2, desarrollo de sus elementos/remisiones con D1. Arts. 6.8 y 17.1.</w:t>
      </w:r>
    </w:p>
    <w:p>
      <w:pPr>
        <w:pStyle w:val="Heading3"/>
        <w:keepNext/>
      </w:pPr>
      <w:r>
        <w:t>035. ¿Sirve presentar la solicitud por correo electrónico?</w:t>
      </w:r>
    </w:p>
    <w:p>
      <w:pPr>
        <w:keepNext/>
      </w:pPr>
      <w:r>
        <w:rPr>
          <w:b/>
        </w:rPr>
        <w:t xml:space="preserve">Dificultad: </w:t>
      </w:r>
      <w:r>
        <w:t>Fácil</w:t>
      </w:r>
    </w:p>
    <w:p>
      <w:pPr>
        <w:keepNext/>
      </w:pPr>
      <w:r>
        <w:rPr>
          <w:b/>
        </w:rPr>
        <w:t xml:space="preserve">Respuesta: </w:t>
      </w:r>
      <w:r>
        <w:t>No. Debe utilizarse la aplicación de solicitud y la de firma y registro electrónico habilitadas por la AEI. El correo no sustituye el trámite exigido.</w:t>
      </w:r>
    </w:p>
    <w:p>
      <w:pPr>
        <w:keepNext/>
      </w:pPr>
      <w:r>
        <w:rPr>
          <w:b/>
        </w:rPr>
        <w:t xml:space="preserve">Pasos o acción práctica: </w:t>
      </w:r>
      <w:r>
        <w:t>Acceder desde la página oficial de la convocatoria.</w:t>
      </w:r>
    </w:p>
    <w:p>
      <w:pPr>
        <w:keepNext/>
      </w:pPr>
      <w:r>
        <w:rPr>
          <w:b/>
        </w:rPr>
        <w:t xml:space="preserve">Errores comunes: </w:t>
      </w:r>
      <w:r>
        <w:t>Enviar documentos a un buzón de atención y considerarlos registrados.</w:t>
      </w:r>
    </w:p>
    <w:p>
      <w:r>
        <w:rPr>
          <w:b/>
        </w:rPr>
        <w:t xml:space="preserve">Referencia normativa: </w:t>
      </w:r>
      <w:r>
        <w:t>D2, desarrollo de sus elementos/remisiones con D1. Art. 17.5-10; extracto, Quinto.</w:t>
      </w:r>
    </w:p>
    <w:p>
      <w:pPr>
        <w:pStyle w:val="Heading3"/>
        <w:keepNext/>
      </w:pPr>
      <w:r>
        <w:t>036. ¿El envío del IP equivale a una solicitud presentada?</w:t>
      </w:r>
    </w:p>
    <w:p>
      <w:pPr>
        <w:keepNext/>
      </w:pPr>
      <w:r>
        <w:rPr>
          <w:b/>
        </w:rPr>
        <w:t xml:space="preserve">Dificultad: </w:t>
      </w:r>
      <w:r>
        <w:t>Media</w:t>
      </w:r>
    </w:p>
    <w:p>
      <w:pPr>
        <w:keepNext/>
      </w:pPr>
      <w:r>
        <w:rPr>
          <w:b/>
        </w:rPr>
        <w:t xml:space="preserve">Respuesta: </w:t>
      </w:r>
      <w:r>
        <w:t>No. Se requiere firma y registro electrónicos de la representación legal. Las solicitudes sin esa formalización se consideran no presentadas.</w:t>
      </w:r>
    </w:p>
    <w:p>
      <w:pPr>
        <w:keepNext/>
      </w:pPr>
      <w:r>
        <w:rPr>
          <w:b/>
        </w:rPr>
        <w:t xml:space="preserve">Pasos o acción práctica: </w:t>
      </w:r>
      <w:r>
        <w:t>Guardar justificante de registro definitivo.</w:t>
      </w:r>
    </w:p>
    <w:p>
      <w:pPr>
        <w:keepNext/>
      </w:pPr>
      <w:r>
        <w:rPr>
          <w:b/>
        </w:rPr>
        <w:t xml:space="preserve">Errores comunes: </w:t>
      </w:r>
      <w:r>
        <w:t>Usar el PDF generado por el IP como única prueba de presentación.</w:t>
      </w:r>
    </w:p>
    <w:p>
      <w:r>
        <w:rPr>
          <w:b/>
        </w:rPr>
        <w:t xml:space="preserve">Referencia normativa: </w:t>
      </w:r>
      <w:r>
        <w:t>D2, desarrollo de sus elementos/remisiones con D1. Art. 17.7 y 17.10.</w:t>
      </w:r>
    </w:p>
    <w:p>
      <w:pPr>
        <w:pStyle w:val="Heading3"/>
        <w:keepNext/>
      </w:pPr>
      <w:r>
        <w:t>037. ¿Qué registros electrónicos deben estar actualizados?</w:t>
      </w:r>
    </w:p>
    <w:p>
      <w:pPr>
        <w:keepNext/>
      </w:pPr>
      <w:r>
        <w:rPr>
          <w:b/>
        </w:rPr>
        <w:t xml:space="preserve">Dificultad: </w:t>
      </w:r>
      <w:r>
        <w:t>Media</w:t>
      </w:r>
    </w:p>
    <w:p>
      <w:pPr>
        <w:keepNext/>
      </w:pPr>
      <w:r>
        <w:rPr>
          <w:b/>
        </w:rPr>
        <w:t xml:space="preserve">Respuesta: </w:t>
      </w:r>
      <w:r>
        <w:t>Los IP y la representación legal deben estar en RUS. La entidad y la acreditación de representación deben constar en SISEN; también las entidades de los participantes a quienes resulte exigible.</w:t>
      </w:r>
    </w:p>
    <w:p>
      <w:pPr>
        <w:keepNext/>
      </w:pPr>
      <w:r>
        <w:rPr>
          <w:b/>
        </w:rPr>
        <w:t xml:space="preserve">Pasos o acción práctica: </w:t>
      </w:r>
      <w:r>
        <w:t>Verificar altas, datos y poderes con antelación.</w:t>
      </w:r>
    </w:p>
    <w:p>
      <w:pPr>
        <w:keepNext/>
      </w:pPr>
      <w:r>
        <w:rPr>
          <w:b/>
        </w:rPr>
        <w:t xml:space="preserve">Errores comunes: </w:t>
      </w:r>
      <w:r>
        <w:t>Detectar un cambio de representante el último día.</w:t>
      </w:r>
    </w:p>
    <w:p>
      <w:r>
        <w:rPr>
          <w:b/>
        </w:rPr>
        <w:t xml:space="preserve">Referencia normativa: </w:t>
      </w:r>
      <w:r>
        <w:t>D2, desarrollo de sus elementos/remisiones con D1. Arts. 6.7-9 y 17.2-4.</w:t>
      </w:r>
    </w:p>
    <w:p>
      <w:pPr>
        <w:pStyle w:val="Heading3"/>
        <w:keepNext/>
      </w:pPr>
      <w:r>
        <w:t>038. ¿Quién conserva las firmas de los participantes?</w:t>
      </w:r>
    </w:p>
    <w:p>
      <w:pPr>
        <w:keepNext/>
      </w:pPr>
      <w:r>
        <w:rPr>
          <w:b/>
        </w:rPr>
        <w:t xml:space="preserve">Dificultad: </w:t>
      </w:r>
      <w:r>
        <w:t>Media</w:t>
      </w:r>
    </w:p>
    <w:p>
      <w:pPr>
        <w:keepNext/>
      </w:pPr>
      <w:r>
        <w:rPr>
          <w:b/>
        </w:rPr>
        <w:t xml:space="preserve">Respuesta: </w:t>
      </w:r>
      <w:r>
        <w:t>La representación legal custodia el documento de solicitud con las firmas originales manuscritas o electrónicas del IP, equipo de investigación y equipo de trabajo.</w:t>
      </w:r>
    </w:p>
    <w:p>
      <w:pPr>
        <w:keepNext/>
      </w:pPr>
      <w:r>
        <w:rPr>
          <w:b/>
        </w:rPr>
        <w:t xml:space="preserve">Pasos o acción práctica: </w:t>
      </w:r>
      <w:r>
        <w:t>Recoger firmas y archivar el documento completo.</w:t>
      </w:r>
    </w:p>
    <w:p>
      <w:pPr>
        <w:keepNext/>
      </w:pPr>
      <w:r>
        <w:rPr>
          <w:b/>
        </w:rPr>
        <w:t xml:space="preserve">Errores comunes: </w:t>
      </w:r>
      <w:r>
        <w:t>Confundir custodia interna con firma y registro electrónico final.</w:t>
      </w:r>
    </w:p>
    <w:p>
      <w:r>
        <w:rPr>
          <w:b/>
        </w:rPr>
        <w:t xml:space="preserve">Referencia normativa: </w:t>
      </w:r>
      <w:r>
        <w:t>D2, desarrollo de sus elementos/remisiones con D1. Art. 17.7 y 17.10.</w:t>
      </w:r>
    </w:p>
    <w:p>
      <w:pPr>
        <w:pStyle w:val="Heading3"/>
        <w:keepNext/>
      </w:pPr>
      <w:r>
        <w:t>039. ¿Cada subproyecto coordinado debe solicitarse por separado?</w:t>
      </w:r>
    </w:p>
    <w:p>
      <w:pPr>
        <w:keepNext/>
      </w:pPr>
      <w:r>
        <w:rPr>
          <w:b/>
        </w:rPr>
        <w:t xml:space="preserve">Dificultad: </w:t>
      </w:r>
      <w:r>
        <w:t>Compleja</w:t>
      </w:r>
    </w:p>
    <w:p>
      <w:pPr>
        <w:keepNext/>
      </w:pPr>
      <w:r>
        <w:rPr>
          <w:b/>
        </w:rPr>
        <w:t xml:space="preserve">Respuesta: </w:t>
      </w:r>
      <w:r>
        <w:t>Sí. Cada subproyecto presenta su solicitud y debe completar su formalización. La memoria es única y la aporta el coordinador para su incorporación automática.</w:t>
      </w:r>
    </w:p>
    <w:p>
      <w:pPr>
        <w:keepNext/>
      </w:pPr>
      <w:r>
        <w:rPr>
          <w:b/>
        </w:rPr>
        <w:t xml:space="preserve">Pasos o acción práctica: </w:t>
      </w:r>
      <w:r>
        <w:t>Acordar calendario común y comprobar registros de todos los subproyectos.</w:t>
      </w:r>
    </w:p>
    <w:p>
      <w:pPr>
        <w:keepNext/>
      </w:pPr>
      <w:r>
        <w:rPr>
          <w:b/>
        </w:rPr>
        <w:t xml:space="preserve">Errores comunes: </w:t>
      </w:r>
      <w:r>
        <w:t>Presentar solo la solicitud del coordinador.</w:t>
      </w:r>
    </w:p>
    <w:p>
      <w:r>
        <w:rPr>
          <w:b/>
        </w:rPr>
        <w:t xml:space="preserve">Referencia normativa: </w:t>
      </w:r>
      <w:r>
        <w:t>D2, desarrollo de sus elementos/remisiones con D1. Arts. 10.5.a), 17.6 y 18.2.a).</w:t>
      </w:r>
    </w:p>
    <w:p>
      <w:pPr>
        <w:pStyle w:val="Heading3"/>
        <w:keepNext/>
      </w:pPr>
      <w:r>
        <w:t>040. ¿Se puede cambiar modalidad o tipo tras cerrar el plazo?</w:t>
      </w:r>
    </w:p>
    <w:p>
      <w:pPr>
        <w:keepNext/>
      </w:pPr>
      <w:r>
        <w:rPr>
          <w:b/>
        </w:rPr>
        <w:t xml:space="preserve">Dificultad: </w:t>
      </w:r>
      <w:r>
        <w:t>Media</w:t>
      </w:r>
    </w:p>
    <w:p>
      <w:pPr>
        <w:keepNext/>
      </w:pPr>
      <w:r>
        <w:rPr>
          <w:b/>
        </w:rPr>
        <w:t xml:space="preserve">Respuesta: </w:t>
      </w:r>
      <w:r>
        <w:t>No. Estas elecciones quedan fijadas al terminar el periodo de solicitudes. Elegir una opción cuyos requisitos no se cumplen provoca exclusión.</w:t>
      </w:r>
    </w:p>
    <w:p>
      <w:pPr>
        <w:keepNext/>
      </w:pPr>
      <w:r>
        <w:rPr>
          <w:b/>
        </w:rPr>
        <w:t xml:space="preserve">Pasos o acción práctica: </w:t>
      </w:r>
      <w:r>
        <w:t>Validar modalidad y tipo antes del registro.</w:t>
      </w:r>
    </w:p>
    <w:p>
      <w:pPr>
        <w:keepNext/>
      </w:pPr>
      <w:r>
        <w:rPr>
          <w:b/>
        </w:rPr>
        <w:t xml:space="preserve">Errores comunes: </w:t>
      </w:r>
      <w:r>
        <w:t>Pretender convertir un A en B durante la subsanación.</w:t>
      </w:r>
    </w:p>
    <w:p>
      <w:r>
        <w:rPr>
          <w:b/>
        </w:rPr>
        <w:t xml:space="preserve">Referencia normativa: </w:t>
      </w:r>
      <w:r>
        <w:t>D2, desarrollo de sus elementos/remisiones con D1. Art. 18.1.a).</w:t>
      </w:r>
    </w:p>
    <w:p>
      <w:pPr>
        <w:pStyle w:val="Heading2"/>
      </w:pPr>
      <w:r>
        <w:t>Evaluación y baremación</w:t>
      </w:r>
    </w:p>
    <w:p>
      <w:pPr>
        <w:pStyle w:val="Heading3"/>
        <w:keepNext/>
      </w:pPr>
      <w:r>
        <w:t>041. ¿Qué criterios se utilizan para evaluar el proyecto?</w:t>
      </w:r>
    </w:p>
    <w:p>
      <w:pPr>
        <w:keepNext/>
      </w:pPr>
      <w:r>
        <w:rPr>
          <w:b/>
        </w:rPr>
        <w:t xml:space="preserve">Dificultad: </w:t>
      </w:r>
      <w:r>
        <w:t>Media</w:t>
      </w:r>
    </w:p>
    <w:p>
      <w:pPr>
        <w:keepNext/>
      </w:pPr>
      <w:r>
        <w:rPr>
          <w:b/>
        </w:rPr>
        <w:t xml:space="preserve">Respuesta: </w:t>
      </w:r>
      <w:r>
        <w:t>Se valoran calidad y viabilidad, trayectoria del equipo e impacto. Los puntos y umbrales dependen de la modalidad, conforme al anexo I.</w:t>
      </w:r>
    </w:p>
    <w:p>
      <w:pPr>
        <w:keepNext/>
      </w:pPr>
      <w:r>
        <w:rPr>
          <w:b/>
        </w:rPr>
        <w:t xml:space="preserve">Pasos o acción práctica: </w:t>
      </w:r>
      <w:r>
        <w:t>Revisar que la memoria aporta evidencias para cada criterio.</w:t>
      </w:r>
    </w:p>
    <w:p>
      <w:pPr>
        <w:keepNext/>
      </w:pPr>
      <w:r>
        <w:rPr>
          <w:b/>
        </w:rPr>
        <w:t xml:space="preserve">Errores comunes: </w:t>
      </w:r>
      <w:r>
        <w:t>Concentrar la propuesta en méritos curriculares sin justificar viabilidad.</w:t>
      </w:r>
    </w:p>
    <w:p>
      <w:r>
        <w:rPr>
          <w:b/>
        </w:rPr>
        <w:t xml:space="preserve">Referencia normativa: </w:t>
      </w:r>
      <w:r>
        <w:t>D2, desarrollo de sus elementos/remisiones con D1. Art. 20; anexo I; extracto, Sexto.</w:t>
      </w:r>
    </w:p>
    <w:p>
      <w:pPr>
        <w:pStyle w:val="Heading3"/>
        <w:keepNext/>
      </w:pPr>
      <w:r>
        <w:t>042. ¿Cuáles son los puntos y umbrales en no orientada?</w:t>
      </w:r>
    </w:p>
    <w:p>
      <w:pPr>
        <w:keepNext/>
      </w:pPr>
      <w:r>
        <w:rPr>
          <w:b/>
        </w:rPr>
        <w:t xml:space="preserve">Dificultad: </w:t>
      </w:r>
      <w:r>
        <w:t>Media</w:t>
      </w:r>
    </w:p>
    <w:p>
      <w:pPr>
        <w:keepNext/>
      </w:pPr>
      <w:r>
        <w:rPr>
          <w:b/>
        </w:rPr>
        <w:t xml:space="preserve">Respuesta: </w:t>
      </w:r>
      <w:r>
        <w:t>Calidad y viabilidad: hasta 55, umbral 40; trayectoria: hasta 30, umbral 20; impacto: hasta 15, umbral 5. Deben satisfacerse los umbrales aplicables.</w:t>
      </w:r>
    </w:p>
    <w:p>
      <w:pPr>
        <w:keepNext/>
      </w:pPr>
      <w:r>
        <w:rPr>
          <w:b/>
        </w:rPr>
        <w:t xml:space="preserve">Pasos o acción práctica: </w:t>
      </w:r>
      <w:r>
        <w:t>Contrastar la propuesta con los tres mínimos.</w:t>
      </w:r>
    </w:p>
    <w:p>
      <w:pPr>
        <w:keepNext/>
      </w:pPr>
      <w:r>
        <w:rPr>
          <w:b/>
        </w:rPr>
        <w:t xml:space="preserve">Errores comunes: </w:t>
      </w:r>
      <w:r>
        <w:t>Creer que una gran puntuación en trayectoria compensa un criterio bajo el umbral.</w:t>
      </w:r>
    </w:p>
    <w:p>
      <w:r>
        <w:rPr>
          <w:b/>
        </w:rPr>
        <w:t xml:space="preserve">Referencia normativa: </w:t>
      </w:r>
      <w:r>
        <w:t>D2, desarrollo de sus elementos/remisiones con D1. Anexo I.1.a).</w:t>
      </w:r>
    </w:p>
    <w:p>
      <w:pPr>
        <w:pStyle w:val="Heading3"/>
        <w:keepNext/>
      </w:pPr>
      <w:r>
        <w:t>043. ¿Cuáles son los puntos y umbrales en orientada?</w:t>
      </w:r>
    </w:p>
    <w:p>
      <w:pPr>
        <w:keepNext/>
      </w:pPr>
      <w:r>
        <w:rPr>
          <w:b/>
        </w:rPr>
        <w:t xml:space="preserve">Dificultad: </w:t>
      </w:r>
      <w:r>
        <w:t>Media</w:t>
      </w:r>
    </w:p>
    <w:p>
      <w:pPr>
        <w:keepNext/>
      </w:pPr>
      <w:r>
        <w:rPr>
          <w:b/>
        </w:rPr>
        <w:t xml:space="preserve">Respuesta: </w:t>
      </w:r>
      <w:r>
        <w:t>Calidad y viabilidad: hasta 45, umbral 30; trayectoria: hasta 30, umbral 20; impacto: hasta 25, umbral 15. El impacto recibe mayor peso que en no orientada.</w:t>
      </w:r>
    </w:p>
    <w:p>
      <w:pPr>
        <w:keepNext/>
      </w:pPr>
      <w:r>
        <w:rPr>
          <w:b/>
        </w:rPr>
        <w:t xml:space="preserve">Pasos o acción práctica: </w:t>
      </w:r>
      <w:r>
        <w:t>Justificar beneficios ligados a la prioridad seleccionada.</w:t>
      </w:r>
    </w:p>
    <w:p>
      <w:pPr>
        <w:keepNext/>
      </w:pPr>
      <w:r>
        <w:rPr>
          <w:b/>
        </w:rPr>
        <w:t xml:space="preserve">Errores comunes: </w:t>
      </w:r>
      <w:r>
        <w:t>Reutilizar una memoria no orientada sin adaptar el impacto.</w:t>
      </w:r>
    </w:p>
    <w:p>
      <w:r>
        <w:rPr>
          <w:b/>
        </w:rPr>
        <w:t xml:space="preserve">Referencia normativa: </w:t>
      </w:r>
      <w:r>
        <w:t>D2, desarrollo de sus elementos/remisiones con D1. Anexo I.1.b).</w:t>
      </w:r>
    </w:p>
    <w:p>
      <w:pPr>
        <w:pStyle w:val="Heading3"/>
        <w:keepNext/>
      </w:pPr>
      <w:r>
        <w:t>044. ¿Dónde se valora el presupuesto solicitado?</w:t>
      </w:r>
    </w:p>
    <w:p>
      <w:pPr>
        <w:keepNext/>
      </w:pPr>
      <w:r>
        <w:rPr>
          <w:b/>
        </w:rPr>
        <w:t xml:space="preserve">Dificultad: </w:t>
      </w:r>
      <w:r>
        <w:t>Media</w:t>
      </w:r>
    </w:p>
    <w:p>
      <w:pPr>
        <w:keepNext/>
      </w:pPr>
      <w:r>
        <w:rPr>
          <w:b/>
        </w:rPr>
        <w:t xml:space="preserve">Respuesta: </w:t>
      </w:r>
      <w:r>
        <w:t>En la viabilidad de la propuesta, subcriterio 1.2. Se examinan claridad, necesidad y adecuación a objetivos y actividades.</w:t>
      </w:r>
    </w:p>
    <w:p>
      <w:pPr>
        <w:keepNext/>
      </w:pPr>
      <w:r>
        <w:rPr>
          <w:b/>
        </w:rPr>
        <w:t xml:space="preserve">Pasos o acción práctica: </w:t>
      </w:r>
      <w:r>
        <w:t>Vincular cada coste a una tarea y resultado.</w:t>
      </w:r>
    </w:p>
    <w:p>
      <w:pPr>
        <w:keepNext/>
      </w:pPr>
      <w:r>
        <w:rPr>
          <w:b/>
        </w:rPr>
        <w:t xml:space="preserve">Errores comunes: </w:t>
      </w:r>
      <w:r>
        <w:t>Incluir importes redondos sin descripción ni justificación.</w:t>
      </w:r>
    </w:p>
    <w:p>
      <w:r>
        <w:rPr>
          <w:b/>
        </w:rPr>
        <w:t xml:space="preserve">Referencia normativa: </w:t>
      </w:r>
      <w:r>
        <w:t>D2, desarrollo de sus elementos/remisiones con D1. Anexo I.1.a)-b), subcriterio 1.2; art. 18.1.m).</w:t>
      </w:r>
    </w:p>
    <w:p>
      <w:pPr>
        <w:pStyle w:val="Heading3"/>
        <w:keepNext/>
      </w:pPr>
      <w:r>
        <w:t>045. ¿Superar los umbrales garantiza financiación?</w:t>
      </w:r>
    </w:p>
    <w:p>
      <w:pPr>
        <w:keepNext/>
      </w:pPr>
      <w:r>
        <w:rPr>
          <w:b/>
        </w:rPr>
        <w:t xml:space="preserve">Dificultad: </w:t>
      </w:r>
      <w:r>
        <w:t>Media</w:t>
      </w:r>
    </w:p>
    <w:p>
      <w:pPr>
        <w:keepNext/>
      </w:pPr>
      <w:r>
        <w:rPr>
          <w:b/>
        </w:rPr>
        <w:t xml:space="preserve">Respuesta: </w:t>
      </w:r>
      <w:r>
        <w:t>No. Los umbrales permiten considerar la propuesta, pero existe priorización competitiva y disponibilidad presupuestaria. El tipo I incorpora además requisitos específicos.</w:t>
      </w:r>
    </w:p>
    <w:p>
      <w:pPr>
        <w:keepNext/>
      </w:pPr>
      <w:r>
        <w:rPr>
          <w:b/>
        </w:rPr>
        <w:t xml:space="preserve">Pasos o acción práctica: </w:t>
      </w:r>
      <w:r>
        <w:t>Distinguir evaluación favorable de concesión efectiva.</w:t>
      </w:r>
    </w:p>
    <w:p>
      <w:pPr>
        <w:keepNext/>
      </w:pPr>
      <w:r>
        <w:rPr>
          <w:b/>
        </w:rPr>
        <w:t xml:space="preserve">Errores comunes: </w:t>
      </w:r>
      <w:r>
        <w:t>Comprometer gasto contando solo con una puntuación suficiente.</w:t>
      </w:r>
    </w:p>
    <w:p>
      <w:r>
        <w:rPr>
          <w:b/>
        </w:rPr>
        <w:t xml:space="preserve">Referencia normativa: </w:t>
      </w:r>
      <w:r>
        <w:t>D2, desarrollo de sus elementos/remisiones con D1. Arts. 14.2, 15.4 y 20.3.</w:t>
      </w:r>
    </w:p>
    <w:p>
      <w:pPr>
        <w:pStyle w:val="Heading3"/>
        <w:keepNext/>
      </w:pPr>
      <w:r>
        <w:t>046. ¿Qué restricción adicional de puntuación tiene el tipo I?</w:t>
      </w:r>
    </w:p>
    <w:p>
      <w:pPr>
        <w:keepNext/>
      </w:pPr>
      <w:r>
        <w:rPr>
          <w:b/>
        </w:rPr>
        <w:t xml:space="preserve">Dificultad: </w:t>
      </w:r>
      <w:r>
        <w:t>Media</w:t>
      </w:r>
    </w:p>
    <w:p>
      <w:pPr>
        <w:keepNext/>
      </w:pPr>
      <w:r>
        <w:rPr>
          <w:b/>
        </w:rPr>
        <w:t xml:space="preserve">Respuesta: </w:t>
      </w:r>
      <w:r>
        <w:t>Debe situarse dentro del 20 % de proyectos mejor valorados de la comisión técnica correspondiente entre los supuestos regulados. Además precisa financiación extranjera favorable.</w:t>
      </w:r>
    </w:p>
    <w:p>
      <w:pPr>
        <w:keepNext/>
      </w:pPr>
      <w:r>
        <w:rPr>
          <w:b/>
        </w:rPr>
        <w:t xml:space="preserve">Pasos o acción práctica: </w:t>
      </w:r>
      <w:r>
        <w:t>Revisar posición y condición internacional de la propuesta.</w:t>
      </w:r>
    </w:p>
    <w:p>
      <w:pPr>
        <w:keepNext/>
      </w:pPr>
      <w:r>
        <w:rPr>
          <w:b/>
        </w:rPr>
        <w:t xml:space="preserve">Errores comunes: </w:t>
      </w:r>
      <w:r>
        <w:t>Considerar suficiente superar los umbrales generales.</w:t>
      </w:r>
    </w:p>
    <w:p>
      <w:r>
        <w:rPr>
          <w:b/>
        </w:rPr>
        <w:t xml:space="preserve">Referencia normativa: </w:t>
      </w:r>
      <w:r>
        <w:t>D2, desarrollo de sus elementos/remisiones con D1. Arts. 20.3.a).1.º y 21.5.</w:t>
      </w:r>
    </w:p>
    <w:p>
      <w:pPr>
        <w:pStyle w:val="Heading3"/>
        <w:keepNext/>
      </w:pPr>
      <w:r>
        <w:t>047. ¿Cómo se resuelven los empates?</w:t>
      </w:r>
    </w:p>
    <w:p>
      <w:pPr>
        <w:keepNext/>
      </w:pPr>
      <w:r>
        <w:rPr>
          <w:b/>
        </w:rPr>
        <w:t xml:space="preserve">Dificultad: </w:t>
      </w:r>
      <w:r>
        <w:t>Media</w:t>
      </w:r>
    </w:p>
    <w:p>
      <w:pPr>
        <w:keepNext/>
      </w:pPr>
      <w:r>
        <w:rPr>
          <w:b/>
        </w:rPr>
        <w:t xml:space="preserve">Respuesta: </w:t>
      </w:r>
      <w:r>
        <w:t>Se comparan los criterios 1, 2 y 3 por ese orden; si persiste el empate, el porcentaje de mujeres participantes y después la anterior presentación de la solicitud.</w:t>
      </w:r>
    </w:p>
    <w:p>
      <w:pPr>
        <w:keepNext/>
      </w:pPr>
      <w:r>
        <w:rPr>
          <w:b/>
        </w:rPr>
        <w:t xml:space="preserve">Pasos o acción práctica: </w:t>
      </w:r>
      <w:r>
        <w:t>Conservar la fecha de registro y datos de equipo verificados.</w:t>
      </w:r>
    </w:p>
    <w:p>
      <w:pPr>
        <w:keepNext/>
      </w:pPr>
      <w:r>
        <w:rPr>
          <w:b/>
        </w:rPr>
        <w:t xml:space="preserve">Errores comunes: </w:t>
      </w:r>
      <w:r>
        <w:t>Atribuir el desempate únicamente a la fecha de envío.</w:t>
      </w:r>
    </w:p>
    <w:p>
      <w:r>
        <w:rPr>
          <w:b/>
        </w:rPr>
        <w:t xml:space="preserve">Referencia normativa: </w:t>
      </w:r>
      <w:r>
        <w:t>D2, desarrollo de sus elementos/remisiones con D1. Anexo I.1.a)-b), Desempate.</w:t>
      </w:r>
    </w:p>
    <w:p>
      <w:pPr>
        <w:pStyle w:val="Heading3"/>
        <w:keepNext/>
      </w:pPr>
      <w:r>
        <w:t>048. ¿La ayuda predoctoral se asigna automáticamente a todos los proyectos?</w:t>
      </w:r>
    </w:p>
    <w:p>
      <w:pPr>
        <w:keepNext/>
      </w:pPr>
      <w:r>
        <w:rPr>
          <w:b/>
        </w:rPr>
        <w:t xml:space="preserve">Dificultad: </w:t>
      </w:r>
      <w:r>
        <w:t>Compleja</w:t>
      </w:r>
    </w:p>
    <w:p>
      <w:pPr>
        <w:keepNext/>
      </w:pPr>
      <w:r>
        <w:rPr>
          <w:b/>
        </w:rPr>
        <w:t xml:space="preserve">Respuesta: </w:t>
      </w:r>
      <w:r>
        <w:t>No. Hay que solicitarla y acreditar capacidad formativa; la evaluación puede proponer su concesión. Los ámbitos del anexo IX tienen una regla específica de financiación de las ayudas solicitadas en proyectos subvencionables.</w:t>
      </w:r>
    </w:p>
    <w:p>
      <w:pPr>
        <w:keepNext/>
      </w:pPr>
      <w:r>
        <w:rPr>
          <w:b/>
        </w:rPr>
        <w:t xml:space="preserve">Pasos o acción práctica: </w:t>
      </w:r>
      <w:r>
        <w:t>Marcar la petición y completar el plan formativo.</w:t>
      </w:r>
    </w:p>
    <w:p>
      <w:pPr>
        <w:keepNext/>
      </w:pPr>
      <w:r>
        <w:rPr>
          <w:b/>
        </w:rPr>
        <w:t xml:space="preserve">Errores comunes: </w:t>
      </w:r>
      <w:r>
        <w:t>Esperar que la AEI añada un contrato no solicitado.</w:t>
      </w:r>
    </w:p>
    <w:p>
      <w:r>
        <w:rPr>
          <w:b/>
        </w:rPr>
        <w:t xml:space="preserve">Referencia normativa: </w:t>
      </w:r>
      <w:r>
        <w:t>D2, desarrollo de sus elementos/remisiones con D1. Arts. 18.1.i), 20.2 y 20.3.a).2.º; anexo VII.</w:t>
      </w:r>
    </w:p>
    <w:p>
      <w:pPr>
        <w:pStyle w:val="Heading3"/>
        <w:keepNext/>
      </w:pPr>
      <w:r>
        <w:t>049. ¿Puede transferirse una evaluación a una convocatoria autonómica?</w:t>
      </w:r>
    </w:p>
    <w:p>
      <w:pPr>
        <w:keepNext/>
      </w:pPr>
      <w:r>
        <w:rPr>
          <w:b/>
        </w:rPr>
        <w:t xml:space="preserve">Dificultad: </w:t>
      </w:r>
      <w:r>
        <w:t>Media</w:t>
      </w:r>
    </w:p>
    <w:p>
      <w:pPr>
        <w:keepNext/>
      </w:pPr>
      <w:r>
        <w:rPr>
          <w:b/>
        </w:rPr>
        <w:t xml:space="preserve">Respuesta: </w:t>
      </w:r>
      <w:r>
        <w:t>Sí, si se acepta en el formulario y existe el convenio de programación conjunta. Se contempla la relación de propuestas con al menos 65 puntos y umbrales superados que no alcanzan prioridad suficiente.</w:t>
      </w:r>
    </w:p>
    <w:p>
      <w:pPr>
        <w:keepNext/>
      </w:pPr>
      <w:r>
        <w:rPr>
          <w:b/>
        </w:rPr>
        <w:t xml:space="preserve">Pasos o acción práctica: </w:t>
      </w:r>
      <w:r>
        <w:t>Marcar aceptación y revisar futura convocatoria regional.</w:t>
      </w:r>
    </w:p>
    <w:p>
      <w:pPr>
        <w:keepNext/>
      </w:pPr>
      <w:r>
        <w:rPr>
          <w:b/>
        </w:rPr>
        <w:t xml:space="preserve">Errores comunes: </w:t>
      </w:r>
      <w:r>
        <w:t>Confundir transferencia de evaluación con concesión automática autonómica.</w:t>
      </w:r>
    </w:p>
    <w:p>
      <w:r>
        <w:rPr>
          <w:b/>
        </w:rPr>
        <w:t xml:space="preserve">Referencia normativa: </w:t>
      </w:r>
      <w:r>
        <w:t>D2, desarrollo de sus elementos/remisiones con D1. Arts. 2.5, 18.1.j) y 20.3.a).3.º.</w:t>
      </w:r>
    </w:p>
    <w:p>
      <w:pPr>
        <w:pStyle w:val="Heading3"/>
        <w:keepNext/>
      </w:pPr>
      <w:r>
        <w:t>050. ¿Qué valor tiene el extracto frente al texto completo?</w:t>
      </w:r>
    </w:p>
    <w:p>
      <w:pPr>
        <w:keepNext/>
      </w:pPr>
      <w:r>
        <w:rPr>
          <w:b/>
        </w:rPr>
        <w:t xml:space="preserve">Dificultad: </w:t>
      </w:r>
      <w:r>
        <w:t>Media</w:t>
      </w:r>
    </w:p>
    <w:p>
      <w:pPr>
        <w:keepNext/>
      </w:pPr>
      <w:r>
        <w:rPr>
          <w:b/>
        </w:rPr>
        <w:t xml:space="preserve">Respuesta: </w:t>
      </w:r>
      <w:r>
        <w:t>El extracto publica los elementos esenciales y remite a la resolución. Para condiciones específicas debe consultarse la convocatoria y sus bases, respetando la jerarquía normativa.</w:t>
      </w:r>
    </w:p>
    <w:p>
      <w:pPr>
        <w:keepNext/>
      </w:pPr>
      <w:r>
        <w:rPr>
          <w:b/>
        </w:rPr>
        <w:t xml:space="preserve">Pasos o acción práctica: </w:t>
      </w:r>
      <w:r>
        <w:t>Utilizar el extracto para identificación y la resolución para cada regla detallada.</w:t>
      </w:r>
    </w:p>
    <w:p>
      <w:pPr>
        <w:keepNext/>
      </w:pPr>
      <w:r>
        <w:rPr>
          <w:b/>
        </w:rPr>
        <w:t xml:space="preserve">Errores comunes: </w:t>
      </w:r>
      <w:r>
        <w:t>Añadir al extracto condiciones que no contiene sin citar su fuente complementaria.</w:t>
      </w:r>
    </w:p>
    <w:p>
      <w:r>
        <w:rPr>
          <w:b/>
        </w:rPr>
        <w:t xml:space="preserve">Referencia normativa: </w:t>
      </w:r>
      <w:r>
        <w:t>D2, desarrollo de sus elementos/remisiones con D1. Extracto, encabezamiento y apartados Primero-Sexto; art. 4.</w:t>
      </w:r>
    </w:p>
    <w:p>
      <w:pPr>
        <w:pStyle w:val="Heading2"/>
      </w:pPr>
      <w:r>
        <w:t>Elegibilidad de los gastos</w:t>
      </w:r>
    </w:p>
    <w:p>
      <w:pPr>
        <w:pStyle w:val="Heading3"/>
        <w:keepNext/>
      </w:pPr>
      <w:r>
        <w:t>051. ¿Qué hace que un gasto sea elegible?</w:t>
      </w:r>
    </w:p>
    <w:p>
      <w:pPr>
        <w:keepNext/>
      </w:pPr>
      <w:r>
        <w:rPr>
          <w:b/>
        </w:rPr>
        <w:t xml:space="preserve">Dificultad: </w:t>
      </w:r>
      <w:r>
        <w:t>Media</w:t>
      </w:r>
    </w:p>
    <w:p>
      <w:pPr>
        <w:keepNext/>
      </w:pPr>
      <w:r>
        <w:rPr>
          <w:b/>
        </w:rPr>
        <w:t xml:space="preserve">Respuesta: </w:t>
      </w:r>
      <w:r>
        <w:t>Debe ser necesario, estar inequívocamente ligado al proyecto y corresponder a un concepto permitido. La vinculación debe acreditarse en solicitud, memoria o informes, además de cumplir las reglas temporales y de contratación.</w:t>
      </w:r>
    </w:p>
    <w:p>
      <w:pPr>
        <w:keepNext/>
      </w:pPr>
      <w:r>
        <w:rPr>
          <w:b/>
        </w:rPr>
        <w:t xml:space="preserve">Pasos o acción práctica: </w:t>
      </w:r>
      <w:r>
        <w:t>Anotar tarea, necesidad, periodo y evidencia para cada gasto.</w:t>
      </w:r>
    </w:p>
    <w:p>
      <w:pPr>
        <w:keepNext/>
      </w:pPr>
      <w:r>
        <w:rPr>
          <w:b/>
        </w:rPr>
        <w:t xml:space="preserve">Errores comunes: </w:t>
      </w:r>
      <w:r>
        <w:t>Pensar que una factura pagada basta para justificar elegibilidad.</w:t>
      </w:r>
    </w:p>
    <w:p>
      <w:r>
        <w:rPr>
          <w:b/>
        </w:rPr>
        <w:t xml:space="preserve">Referencia normativa: </w:t>
      </w:r>
      <w:r>
        <w:t>D3 contrastado y completado con D1. Art. 11.1 y 11.7; art. 27.3-4.</w:t>
      </w:r>
    </w:p>
    <w:p>
      <w:pPr>
        <w:pStyle w:val="Heading3"/>
        <w:keepNext/>
      </w:pPr>
      <w:r>
        <w:t>052. ¿Puede cargarse el salario del IP al proyecto?</w:t>
      </w:r>
    </w:p>
    <w:p>
      <w:pPr>
        <w:keepNext/>
      </w:pPr>
      <w:r>
        <w:rPr>
          <w:b/>
        </w:rPr>
        <w:t xml:space="preserve">Dificultad: </w:t>
      </w:r>
      <w:r>
        <w:t>Media</w:t>
      </w:r>
    </w:p>
    <w:p>
      <w:pPr>
        <w:keepNext/>
      </w:pPr>
      <w:r>
        <w:rPr>
          <w:b/>
        </w:rPr>
        <w:t xml:space="preserve">Respuesta: </w:t>
      </w:r>
      <w:r>
        <w:t>No, ni el salario derivado de contratar al IP ni el de miembros del equipo de investigación. Esta exclusión opera aunque se proponga una dedicación parcial.</w:t>
      </w:r>
    </w:p>
    <w:p>
      <w:pPr>
        <w:keepNext/>
      </w:pPr>
      <w:r>
        <w:rPr>
          <w:b/>
        </w:rPr>
        <w:t xml:space="preserve">Pasos o acción práctica: </w:t>
      </w:r>
      <w:r>
        <w:t>Identificar el papel de la persona antes de presupuestar su contratación.</w:t>
      </w:r>
    </w:p>
    <w:p>
      <w:pPr>
        <w:keepNext/>
      </w:pPr>
      <w:r>
        <w:rPr>
          <w:b/>
        </w:rPr>
        <w:t xml:space="preserve">Errores comunes: </w:t>
      </w:r>
      <w:r>
        <w:t>Cambiar la etiqueta del coste sin cambiar su naturaleza.</w:t>
      </w:r>
    </w:p>
    <w:p>
      <w:r>
        <w:rPr>
          <w:b/>
        </w:rPr>
        <w:t xml:space="preserve">Referencia normativa: </w:t>
      </w:r>
      <w:r>
        <w:t>D3 contrastado y completado con D1. Art. 11.3.a), exclusiones 1.º.</w:t>
      </w:r>
    </w:p>
    <w:p>
      <w:pPr>
        <w:pStyle w:val="Heading3"/>
        <w:keepNext/>
      </w:pPr>
      <w:r>
        <w:t>053. ¿Se financia personal propio de capítulo I?</w:t>
      </w:r>
    </w:p>
    <w:p>
      <w:pPr>
        <w:keepNext/>
      </w:pPr>
      <w:r>
        <w:rPr>
          <w:b/>
        </w:rPr>
        <w:t xml:space="preserve">Dificultad: </w:t>
      </w:r>
      <w:r>
        <w:t>Media</w:t>
      </w:r>
    </w:p>
    <w:p>
      <w:pPr>
        <w:keepNext/>
      </w:pPr>
      <w:r>
        <w:rPr>
          <w:b/>
        </w:rPr>
        <w:t xml:space="preserve">Respuesta: </w:t>
      </w:r>
      <w:r>
        <w:t>En entidades públicas con presupuestos consolidados se excluye el personal propio financiado por capítulo I, salvo el supuesto de contratos del artículo 23 bis de la Ley de la Ciencia. Deben cumplirse las demás condiciones de elegibilidad.</w:t>
      </w:r>
    </w:p>
    <w:p>
      <w:pPr>
        <w:keepNext/>
      </w:pPr>
      <w:r>
        <w:rPr>
          <w:b/>
        </w:rPr>
        <w:t xml:space="preserve">Pasos o acción práctica: </w:t>
      </w:r>
      <w:r>
        <w:t>Comprobar origen presupuestario y modalidad contractual.</w:t>
      </w:r>
    </w:p>
    <w:p>
      <w:pPr>
        <w:keepNext/>
      </w:pPr>
      <w:r>
        <w:rPr>
          <w:b/>
        </w:rPr>
        <w:t xml:space="preserve">Errores comunes: </w:t>
      </w:r>
      <w:r>
        <w:t>Interpretar la excepción como financiación general de plantillas.</w:t>
      </w:r>
    </w:p>
    <w:p>
      <w:r>
        <w:rPr>
          <w:b/>
        </w:rPr>
        <w:t xml:space="preserve">Referencia normativa: </w:t>
      </w:r>
      <w:r>
        <w:t>D3 contrastado y completado con D1. Art. 11.3.a).</w:t>
      </w:r>
    </w:p>
    <w:p>
      <w:pPr>
        <w:pStyle w:val="Heading3"/>
        <w:keepNext/>
      </w:pPr>
      <w:r>
        <w:t>054. ¿Puede pagarse con el proyecto al predoctoral de la ayuda asociada?</w:t>
      </w:r>
    </w:p>
    <w:p>
      <w:pPr>
        <w:keepNext/>
      </w:pPr>
      <w:r>
        <w:rPr>
          <w:b/>
        </w:rPr>
        <w:t xml:space="preserve">Dificultad: </w:t>
      </w:r>
      <w:r>
        <w:t>Media</w:t>
      </w:r>
    </w:p>
    <w:p>
      <w:pPr>
        <w:keepNext/>
      </w:pPr>
      <w:r>
        <w:rPr>
          <w:b/>
        </w:rPr>
        <w:t xml:space="preserve">Respuesta: </w:t>
      </w:r>
      <w:r>
        <w:t>No. Los costes del personal predoctoral financiado mediante la actuación del artículo 3 quedan excluidos del presupuesto del proyecto. La ayuda asociada tiene su propia financiación.</w:t>
      </w:r>
    </w:p>
    <w:p>
      <w:pPr>
        <w:keepNext/>
      </w:pPr>
      <w:r>
        <w:rPr>
          <w:b/>
        </w:rPr>
        <w:t xml:space="preserve">Pasos o acción práctica: </w:t>
      </w:r>
      <w:r>
        <w:t>Separar centros de coste y expedientes.</w:t>
      </w:r>
    </w:p>
    <w:p>
      <w:pPr>
        <w:keepNext/>
      </w:pPr>
      <w:r>
        <w:rPr>
          <w:b/>
        </w:rPr>
        <w:t xml:space="preserve">Errores comunes: </w:t>
      </w:r>
      <w:r>
        <w:t>Duplicar salario o Seguridad Social en ambas ayudas.</w:t>
      </w:r>
    </w:p>
    <w:p>
      <w:r>
        <w:rPr>
          <w:b/>
        </w:rPr>
        <w:t xml:space="preserve">Referencia normativa: </w:t>
      </w:r>
      <w:r>
        <w:t>D3 contrastado y completado con D1. Art. 11.3.a), exclusión 2.º; arts. 12-14.</w:t>
      </w:r>
    </w:p>
    <w:p>
      <w:pPr>
        <w:pStyle w:val="Heading3"/>
        <w:keepNext/>
      </w:pPr>
      <w:r>
        <w:t>055. ¿Se pueden complementar contratos ya subvencionados por otras ayudas públicas?</w:t>
      </w:r>
    </w:p>
    <w:p>
      <w:pPr>
        <w:keepNext/>
      </w:pPr>
      <w:r>
        <w:rPr>
          <w:b/>
        </w:rPr>
        <w:t xml:space="preserve">Dificultad: </w:t>
      </w:r>
      <w:r>
        <w:t>Media</w:t>
      </w:r>
    </w:p>
    <w:p>
      <w:pPr>
        <w:keepNext/>
      </w:pPr>
      <w:r>
        <w:rPr>
          <w:b/>
        </w:rPr>
        <w:t xml:space="preserve">Respuesta: </w:t>
      </w:r>
      <w:r>
        <w:t>La convocatoria excluye determinados contratos subvencionados y el coste adicional no cubierto de ayudas públicas de contratación, incluidas las cofinanciadas por FEDER o FSE/FSE+. No debe aplicarse como regla general la compatibilidad del artículo 16 para ignorar esta exclusión.</w:t>
      </w:r>
    </w:p>
    <w:p>
      <w:pPr>
        <w:keepNext/>
      </w:pPr>
      <w:r>
        <w:rPr>
          <w:b/>
        </w:rPr>
        <w:t xml:space="preserve">Pasos o acción práctica: </w:t>
      </w:r>
      <w:r>
        <w:t>Revisar la financiación original del contrato.</w:t>
      </w:r>
    </w:p>
    <w:p>
      <w:pPr>
        <w:keepNext/>
      </w:pPr>
      <w:r>
        <w:rPr>
          <w:b/>
        </w:rPr>
        <w:t xml:space="preserve">Errores comunes: </w:t>
      </w:r>
      <w:r>
        <w:t>Cargar al proyecto la diferencia salarial que otra ayuda no cubre.</w:t>
      </w:r>
    </w:p>
    <w:p>
      <w:r>
        <w:rPr>
          <w:b/>
        </w:rPr>
        <w:t xml:space="preserve">Referencia normativa: </w:t>
      </w:r>
      <w:r>
        <w:t>D3 contrastado y completado con D1. Art. 11.3.a), exclusiones 4.º y 6.º.</w:t>
      </w:r>
    </w:p>
    <w:p>
      <w:pPr>
        <w:pStyle w:val="Heading3"/>
        <w:keepNext/>
      </w:pPr>
      <w:r>
        <w:t>056. ¿Son elegibles las prácticas no laborales?</w:t>
      </w:r>
    </w:p>
    <w:p>
      <w:pPr>
        <w:keepNext/>
      </w:pPr>
      <w:r>
        <w:rPr>
          <w:b/>
        </w:rPr>
        <w:t xml:space="preserve">Dificultad: </w:t>
      </w:r>
      <w:r>
        <w:t>Media</w:t>
      </w:r>
    </w:p>
    <w:p>
      <w:pPr>
        <w:keepNext/>
      </w:pPr>
      <w:r>
        <w:rPr>
          <w:b/>
        </w:rPr>
        <w:t xml:space="preserve">Respuesta: </w:t>
      </w:r>
      <w:r>
        <w:t>No se admiten como coste de personal del proyecto. Debe distinguirse una contratación laboral válida de una práctica formativa sin relación laboral.</w:t>
      </w:r>
    </w:p>
    <w:p>
      <w:pPr>
        <w:keepNext/>
      </w:pPr>
      <w:r>
        <w:rPr>
          <w:b/>
        </w:rPr>
        <w:t xml:space="preserve">Pasos o acción práctica: </w:t>
      </w:r>
      <w:r>
        <w:t>Revisar la naturaleza jurídica de la incorporación.</w:t>
      </w:r>
    </w:p>
    <w:p>
      <w:pPr>
        <w:keepNext/>
      </w:pPr>
      <w:r>
        <w:rPr>
          <w:b/>
        </w:rPr>
        <w:t xml:space="preserve">Errores comunes: </w:t>
      </w:r>
      <w:r>
        <w:t>Asimilar una bolsa de prácticas a salario subvencionable.</w:t>
      </w:r>
    </w:p>
    <w:p>
      <w:r>
        <w:rPr>
          <w:b/>
        </w:rPr>
        <w:t xml:space="preserve">Referencia normativa: </w:t>
      </w:r>
      <w:r>
        <w:t>D3 contrastado y completado con D1. Art. 11.3.a), exclusión 3.º.</w:t>
      </w:r>
    </w:p>
    <w:p>
      <w:pPr>
        <w:pStyle w:val="Heading3"/>
        <w:keepNext/>
      </w:pPr>
      <w:r>
        <w:t>057. ¿Puede imputarse personal que comenzó antes del proyecto?</w:t>
      </w:r>
    </w:p>
    <w:p>
      <w:pPr>
        <w:keepNext/>
      </w:pPr>
      <w:r>
        <w:rPr>
          <w:b/>
        </w:rPr>
        <w:t xml:space="preserve">Dificultad: </w:t>
      </w:r>
      <w:r>
        <w:t>Media</w:t>
      </w:r>
    </w:p>
    <w:p>
      <w:pPr>
        <w:keepNext/>
      </w:pPr>
      <w:r>
        <w:rPr>
          <w:b/>
        </w:rPr>
        <w:t xml:space="preserve">Respuesta: </w:t>
      </w:r>
      <w:r>
        <w:t>No se financian los gastos de personal anteriores a la fecha aprobada de inicio. Un contrato preexistente no convierte en elegibles sus costes anteriores.</w:t>
      </w:r>
    </w:p>
    <w:p>
      <w:pPr>
        <w:keepNext/>
      </w:pPr>
      <w:r>
        <w:rPr>
          <w:b/>
        </w:rPr>
        <w:t xml:space="preserve">Pasos o acción práctica: </w:t>
      </w:r>
      <w:r>
        <w:t>Separar nóminas y periodos de dedicación.</w:t>
      </w:r>
    </w:p>
    <w:p>
      <w:pPr>
        <w:keepNext/>
      </w:pPr>
      <w:r>
        <w:rPr>
          <w:b/>
        </w:rPr>
        <w:t xml:space="preserve">Errores comunes: </w:t>
      </w:r>
      <w:r>
        <w:t>Utilizar la fecha de solicitud como inicio económico.</w:t>
      </w:r>
    </w:p>
    <w:p>
      <w:r>
        <w:rPr>
          <w:b/>
        </w:rPr>
        <w:t xml:space="preserve">Referencia normativa: </w:t>
      </w:r>
      <w:r>
        <w:t>D3 contrastado y completado con D1. Art. 11.3.a), exclusión 5.º.</w:t>
      </w:r>
    </w:p>
    <w:p>
      <w:pPr>
        <w:pStyle w:val="Heading3"/>
        <w:keepNext/>
      </w:pPr>
      <w:r>
        <w:t>058. ¿Hay que indicar dedicación y financiación en los contratos?</w:t>
      </w:r>
    </w:p>
    <w:p>
      <w:pPr>
        <w:keepNext/>
      </w:pPr>
      <w:r>
        <w:rPr>
          <w:b/>
        </w:rPr>
        <w:t xml:space="preserve">Dificultad: </w:t>
      </w:r>
      <w:r>
        <w:t>Media</w:t>
      </w:r>
    </w:p>
    <w:p>
      <w:pPr>
        <w:keepNext/>
      </w:pPr>
      <w:r>
        <w:rPr>
          <w:b/>
        </w:rPr>
        <w:t xml:space="preserve">Respuesta: </w:t>
      </w:r>
      <w:r>
        <w:t>Sí. El contrato o adenda debe recoger la dedicación al proyecto, su referencia y la identificación de financiación exigida; también deben incorporarse los logotipos aplicables.</w:t>
      </w:r>
    </w:p>
    <w:p>
      <w:pPr>
        <w:keepNext/>
      </w:pPr>
      <w:r>
        <w:rPr>
          <w:b/>
        </w:rPr>
        <w:t xml:space="preserve">Pasos o acción práctica: </w:t>
      </w:r>
      <w:r>
        <w:t>Utilizar modelo contractual revisado y comprobar referencia y porcentaje.</w:t>
      </w:r>
    </w:p>
    <w:p>
      <w:pPr>
        <w:keepNext/>
      </w:pPr>
      <w:r>
        <w:rPr>
          <w:b/>
        </w:rPr>
        <w:t xml:space="preserve">Errores comunes: </w:t>
      </w:r>
      <w:r>
        <w:t>Firmar un contrato sin trazabilidad de financiación.</w:t>
      </w:r>
    </w:p>
    <w:p>
      <w:r>
        <w:rPr>
          <w:b/>
        </w:rPr>
        <w:t xml:space="preserve">Referencia normativa: </w:t>
      </w:r>
      <w:r>
        <w:t>D3 contrastado y completado con D1. Art. 11.3.a); art. 23.5.</w:t>
      </w:r>
    </w:p>
    <w:p>
      <w:pPr>
        <w:pStyle w:val="Heading3"/>
        <w:keepNext/>
      </w:pPr>
      <w:r>
        <w:t>059. ¿Puede financiarse la indemnización del personal del proyecto?</w:t>
      </w:r>
    </w:p>
    <w:p>
      <w:pPr>
        <w:keepNext/>
      </w:pPr>
      <w:r>
        <w:rPr>
          <w:b/>
        </w:rPr>
        <w:t xml:space="preserve">Dificultad: </w:t>
      </w:r>
      <w:r>
        <w:t>Media</w:t>
      </w:r>
    </w:p>
    <w:p>
      <w:pPr>
        <w:keepNext/>
      </w:pPr>
      <w:r>
        <w:rPr>
          <w:b/>
        </w:rPr>
        <w:t xml:space="preserve">Respuesta: </w:t>
      </w:r>
      <w:r>
        <w:t>Sí, en la proporción que corresponda al coste de personal imputado durante la ejecución, cuando exista derecho a indemnización. Su elegibilidad no crea por sí misma un derecho laboral.</w:t>
      </w:r>
    </w:p>
    <w:p>
      <w:pPr>
        <w:keepNext/>
      </w:pPr>
      <w:r>
        <w:rPr>
          <w:b/>
        </w:rPr>
        <w:t xml:space="preserve">Pasos o acción práctica: </w:t>
      </w:r>
      <w:r>
        <w:t>Calcular derecho, periodo y proporción financiable.</w:t>
      </w:r>
    </w:p>
    <w:p>
      <w:pPr>
        <w:keepNext/>
      </w:pPr>
      <w:r>
        <w:rPr>
          <w:b/>
        </w:rPr>
        <w:t xml:space="preserve">Errores comunes: </w:t>
      </w:r>
      <w:r>
        <w:t>Cargar toda la indemnización de un contrato parcialmente dedicado.</w:t>
      </w:r>
    </w:p>
    <w:p>
      <w:r>
        <w:rPr>
          <w:b/>
        </w:rPr>
        <w:t xml:space="preserve">Referencia normativa: </w:t>
      </w:r>
      <w:r>
        <w:t>D3 contrastado y completado con D1. Art. 11.3.a).</w:t>
      </w:r>
    </w:p>
    <w:p>
      <w:pPr>
        <w:pStyle w:val="Heading2"/>
      </w:pPr>
      <w:r>
        <w:t>Actividades y gastos subvencionables</w:t>
      </w:r>
    </w:p>
    <w:p>
      <w:pPr>
        <w:pStyle w:val="Heading3"/>
        <w:keepNext/>
      </w:pPr>
      <w:r>
        <w:t>060. ¿Puede viajar con cargo al proyecto el equipo de trabajo?</w:t>
      </w:r>
    </w:p>
    <w:p>
      <w:pPr>
        <w:keepNext/>
      </w:pPr>
      <w:r>
        <w:rPr>
          <w:b/>
        </w:rPr>
        <w:t xml:space="preserve">Dificultad: </w:t>
      </w:r>
      <w:r>
        <w:t>Media</w:t>
      </w:r>
    </w:p>
    <w:p>
      <w:pPr>
        <w:keepNext/>
      </w:pPr>
      <w:r>
        <w:rPr>
          <w:b/>
        </w:rPr>
        <w:t xml:space="preserve">Respuesta: </w:t>
      </w:r>
      <w:r>
        <w:t>Sí, si su participación está expresamente descrita en solicitud o informes y el desplazamiento está vinculado al proyecto. La inclusión nominal por sí sola no justifica cualquier viaje.</w:t>
      </w:r>
    </w:p>
    <w:p>
      <w:pPr>
        <w:keepNext/>
      </w:pPr>
      <w:r>
        <w:rPr>
          <w:b/>
        </w:rPr>
        <w:t xml:space="preserve">Pasos o acción práctica: </w:t>
      </w:r>
      <w:r>
        <w:t>Relacionar persona, tarea y motivo científico del desplazamiento.</w:t>
      </w:r>
    </w:p>
    <w:p>
      <w:pPr>
        <w:keepNext/>
      </w:pPr>
      <w:r>
        <w:rPr>
          <w:b/>
        </w:rPr>
        <w:t xml:space="preserve">Errores comunes: </w:t>
      </w:r>
      <w:r>
        <w:t>Añadir nombres sin describir actividades.</w:t>
      </w:r>
    </w:p>
    <w:p>
      <w:r>
        <w:rPr>
          <w:b/>
        </w:rPr>
        <w:t xml:space="preserve">Referencia normativa: </w:t>
      </w:r>
      <w:r>
        <w:t>D3 contrastado y completado con D1. Arts. 9.3 y 11.3.b).1.º.</w:t>
      </w:r>
    </w:p>
    <w:p>
      <w:pPr>
        <w:pStyle w:val="Heading3"/>
        <w:keepNext/>
      </w:pPr>
      <w:r>
        <w:t>061. ¿Cuál es la duración general máxima de un viaje financiable?</w:t>
      </w:r>
    </w:p>
    <w:p>
      <w:pPr>
        <w:keepNext/>
      </w:pPr>
      <w:r>
        <w:rPr>
          <w:b/>
        </w:rPr>
        <w:t xml:space="preserve">Dificultad: </w:t>
      </w:r>
      <w:r>
        <w:t>Media</w:t>
      </w:r>
    </w:p>
    <w:p>
      <w:pPr>
        <w:keepNext/>
      </w:pPr>
      <w:r>
        <w:rPr>
          <w:b/>
        </w:rPr>
        <w:t xml:space="preserve">Respuesta: </w:t>
      </w:r>
      <w:r>
        <w:t>Con carácter general, un mes en España y tres meses en el extranjero. Hay un régimen específico para campañas de muestreo, toma de datos y ciertas estancias de investigación.</w:t>
      </w:r>
    </w:p>
    <w:p>
      <w:pPr>
        <w:keepNext/>
      </w:pPr>
      <w:r>
        <w:rPr>
          <w:b/>
        </w:rPr>
        <w:t xml:space="preserve">Pasos o acción práctica: </w:t>
      </w:r>
      <w:r>
        <w:t>Identificar si se aplica el régimen general o el especial.</w:t>
      </w:r>
    </w:p>
    <w:p>
      <w:pPr>
        <w:keepNext/>
      </w:pPr>
      <w:r>
        <w:rPr>
          <w:b/>
        </w:rPr>
        <w:t xml:space="preserve">Errores comunes: </w:t>
      </w:r>
      <w:r>
        <w:t>Tratar los límites como absolutos sin revisar excepciones.</w:t>
      </w:r>
    </w:p>
    <w:p>
      <w:r>
        <w:rPr>
          <w:b/>
        </w:rPr>
        <w:t xml:space="preserve">Referencia normativa: </w:t>
      </w:r>
      <w:r>
        <w:t>D3 contrastado y completado con D1. Art. 11.3.b).2.º-3.º.</w:t>
      </w:r>
    </w:p>
    <w:p>
      <w:pPr>
        <w:pStyle w:val="Heading3"/>
        <w:keepNext/>
      </w:pPr>
      <w:r>
        <w:t>062. ¿Qué dietas se aplican a la UVa?</w:t>
      </w:r>
    </w:p>
    <w:p>
      <w:pPr>
        <w:keepNext/>
      </w:pPr>
      <w:r>
        <w:rPr>
          <w:b/>
        </w:rPr>
        <w:t xml:space="preserve">Dificultad: </w:t>
      </w:r>
      <w:r>
        <w:t>Media</w:t>
      </w:r>
    </w:p>
    <w:p>
      <w:pPr>
        <w:keepNext/>
      </w:pPr>
      <w:r>
        <w:rPr>
          <w:b/>
        </w:rPr>
        <w:t xml:space="preserve">Respuesta: </w:t>
      </w:r>
      <w:r>
        <w:t>Como entidad pública, sus importes quedan limitados por la normativa propia que se aporte y cuya aplicación certifique la representación legal. Si no se aporta o el gasto no está regulado, se aplica el régimen subsidiario previsto.</w:t>
      </w:r>
    </w:p>
    <w:p>
      <w:pPr>
        <w:keepNext/>
      </w:pPr>
      <w:r>
        <w:rPr>
          <w:b/>
        </w:rPr>
        <w:t xml:space="preserve">Pasos o acción práctica: </w:t>
      </w:r>
      <w:r>
        <w:t>Aportar normativa vigente y declaración institucional.</w:t>
      </w:r>
    </w:p>
    <w:p>
      <w:pPr>
        <w:keepNext/>
      </w:pPr>
      <w:r>
        <w:rPr>
          <w:b/>
        </w:rPr>
        <w:t xml:space="preserve">Errores comunes: </w:t>
      </w:r>
      <w:r>
        <w:t>Aplicar directamente un importe de otra entidad.</w:t>
      </w:r>
    </w:p>
    <w:p>
      <w:r>
        <w:rPr>
          <w:b/>
        </w:rPr>
        <w:t xml:space="preserve">Referencia normativa: </w:t>
      </w:r>
      <w:r>
        <w:t>D3 contrastado y completado con D1. Art. 11.3.b).2.º.ii-iii.</w:t>
      </w:r>
    </w:p>
    <w:p>
      <w:pPr>
        <w:pStyle w:val="Heading3"/>
        <w:keepNext/>
      </w:pPr>
      <w:r>
        <w:t>063. ¿Qué límites tienen las estancias sujetas al régimen especial?</w:t>
      </w:r>
    </w:p>
    <w:p>
      <w:pPr>
        <w:keepNext/>
      </w:pPr>
      <w:r>
        <w:rPr>
          <w:b/>
        </w:rPr>
        <w:t xml:space="preserve">Dificultad: </w:t>
      </w:r>
      <w:r>
        <w:t>Media</w:t>
      </w:r>
    </w:p>
    <w:p>
      <w:pPr>
        <w:keepNext/>
      </w:pPr>
      <w:r>
        <w:rPr>
          <w:b/>
        </w:rPr>
        <w:t xml:space="preserve">Respuesta: </w:t>
      </w:r>
      <w:r>
        <w:t>Para manutención y alojamiento se fijan 1.500 euros mensuales o 50 diarios en centros nacionales, y 1.950 mensuales o 65 diarios en extranjeros. Se exige acreditación de la estancia o campaña.</w:t>
      </w:r>
    </w:p>
    <w:p>
      <w:pPr>
        <w:keepNext/>
      </w:pPr>
      <w:r>
        <w:rPr>
          <w:b/>
        </w:rPr>
        <w:t xml:space="preserve">Pasos o acción práctica: </w:t>
      </w:r>
      <w:r>
        <w:t>Pedir certificado y aplicar el límite correspondiente.</w:t>
      </w:r>
    </w:p>
    <w:p>
      <w:pPr>
        <w:keepNext/>
      </w:pPr>
      <w:r>
        <w:rPr>
          <w:b/>
        </w:rPr>
        <w:t xml:space="preserve">Errores comunes: </w:t>
      </w:r>
      <w:r>
        <w:t>Acumular sin comprobación dieta ordinaria y régimen especial.</w:t>
      </w:r>
    </w:p>
    <w:p>
      <w:r>
        <w:rPr>
          <w:b/>
        </w:rPr>
        <w:t xml:space="preserve">Referencia normativa: </w:t>
      </w:r>
      <w:r>
        <w:t>D3 contrastado y completado con D1. Art. 11.3.b).3.º.</w:t>
      </w:r>
    </w:p>
    <w:p>
      <w:pPr>
        <w:pStyle w:val="Heading3"/>
        <w:keepNext/>
      </w:pPr>
      <w:r>
        <w:t>064. ¿Son elegibles comidas de trabajo y atenciones protocolarias?</w:t>
      </w:r>
    </w:p>
    <w:p>
      <w:pPr>
        <w:keepNext/>
      </w:pPr>
      <w:r>
        <w:rPr>
          <w:b/>
        </w:rPr>
        <w:t xml:space="preserve">Dificultad: </w:t>
      </w:r>
      <w:r>
        <w:t>Media</w:t>
      </w:r>
    </w:p>
    <w:p>
      <w:pPr>
        <w:keepNext/>
      </w:pPr>
      <w:r>
        <w:rPr>
          <w:b/>
        </w:rPr>
        <w:t xml:space="preserve">Respuesta: </w:t>
      </w:r>
      <w:r>
        <w:t>No. La exclusión afecta a comidas o cenas de trabajo y atenciones, sin eliminar las indemnizaciones de manutención admisibles en un desplazamiento.</w:t>
      </w:r>
    </w:p>
    <w:p>
      <w:pPr>
        <w:keepNext/>
      </w:pPr>
      <w:r>
        <w:rPr>
          <w:b/>
        </w:rPr>
        <w:t xml:space="preserve">Pasos o acción práctica: </w:t>
      </w:r>
      <w:r>
        <w:t>Distinguir liquidación de viaje y factura de representación.</w:t>
      </w:r>
    </w:p>
    <w:p>
      <w:pPr>
        <w:keepNext/>
      </w:pPr>
      <w:r>
        <w:rPr>
          <w:b/>
        </w:rPr>
        <w:t xml:space="preserve">Errores comunes: </w:t>
      </w:r>
      <w:r>
        <w:t>Interpretar la exclusión como prohibición de toda manutención.</w:t>
      </w:r>
    </w:p>
    <w:p>
      <w:r>
        <w:rPr>
          <w:b/>
        </w:rPr>
        <w:t xml:space="preserve">Referencia normativa: </w:t>
      </w:r>
      <w:r>
        <w:t>D3 contrastado y completado con D1. Art. 11.3.b).6.º.</w:t>
      </w:r>
    </w:p>
    <w:p>
      <w:pPr>
        <w:pStyle w:val="Heading3"/>
        <w:keepNext/>
      </w:pPr>
      <w:r>
        <w:t>065. ¿Se admite un vehículo de alquiler?</w:t>
      </w:r>
    </w:p>
    <w:p>
      <w:pPr>
        <w:keepNext/>
      </w:pPr>
      <w:r>
        <w:rPr>
          <w:b/>
        </w:rPr>
        <w:t xml:space="preserve">Dificultad: </w:t>
      </w:r>
      <w:r>
        <w:t>Media</w:t>
      </w:r>
    </w:p>
    <w:p>
      <w:pPr>
        <w:keepNext/>
      </w:pPr>
      <w:r>
        <w:rPr>
          <w:b/>
        </w:rPr>
        <w:t xml:space="preserve">Respuesta: </w:t>
      </w:r>
      <w:r>
        <w:t>Sí, pero se requiere justificación expresa de necesidad o conveniencia y cumplimiento de las reglas de movilidad aplicables.</w:t>
      </w:r>
    </w:p>
    <w:p>
      <w:pPr>
        <w:keepNext/>
      </w:pPr>
      <w:r>
        <w:rPr>
          <w:b/>
        </w:rPr>
        <w:t xml:space="preserve">Pasos o acción práctica: </w:t>
      </w:r>
      <w:r>
        <w:t>Motivar por qué ese medio resulta adecuado.</w:t>
      </w:r>
    </w:p>
    <w:p>
      <w:pPr>
        <w:keepNext/>
      </w:pPr>
      <w:r>
        <w:rPr>
          <w:b/>
        </w:rPr>
        <w:t xml:space="preserve">Errores comunes: </w:t>
      </w:r>
      <w:r>
        <w:t>Adjuntar solo la factura de alquiler.</w:t>
      </w:r>
    </w:p>
    <w:p>
      <w:r>
        <w:rPr>
          <w:b/>
        </w:rPr>
        <w:t xml:space="preserve">Referencia normativa: </w:t>
      </w:r>
      <w:r>
        <w:t>D3 contrastado y completado con D1. Art. 11.3.b).2.º.iv y 3.º.ii.</w:t>
      </w:r>
    </w:p>
    <w:p>
      <w:pPr>
        <w:pStyle w:val="Heading3"/>
        <w:keepNext/>
      </w:pPr>
      <w:r>
        <w:t>066. ¿Se financian seguros y visados?</w:t>
      </w:r>
    </w:p>
    <w:p>
      <w:pPr>
        <w:keepNext/>
      </w:pPr>
      <w:r>
        <w:rPr>
          <w:b/>
        </w:rPr>
        <w:t xml:space="preserve">Dificultad: </w:t>
      </w:r>
      <w:r>
        <w:t>Media</w:t>
      </w:r>
    </w:p>
    <w:p>
      <w:pPr>
        <w:keepNext/>
      </w:pPr>
      <w:r>
        <w:rPr>
          <w:b/>
        </w:rPr>
        <w:t xml:space="preserve">Respuesta: </w:t>
      </w:r>
      <w:r>
        <w:t>Son admisibles los visados y los seguros de asistencia médica en los supuestos definidos. No se aceptan otros seguros ni los viajes realizados para obtener el visado.</w:t>
      </w:r>
    </w:p>
    <w:p>
      <w:pPr>
        <w:keepNext/>
      </w:pPr>
      <w:r>
        <w:rPr>
          <w:b/>
        </w:rPr>
        <w:t xml:space="preserve">Pasos o acción práctica: </w:t>
      </w:r>
      <w:r>
        <w:t>Identificar cobertura y país de destino.</w:t>
      </w:r>
    </w:p>
    <w:p>
      <w:pPr>
        <w:keepNext/>
      </w:pPr>
      <w:r>
        <w:rPr>
          <w:b/>
        </w:rPr>
        <w:t xml:space="preserve">Errores comunes: </w:t>
      </w:r>
      <w:r>
        <w:t>Incluir seguro de cancelación como si fuera asistencia médica.</w:t>
      </w:r>
    </w:p>
    <w:p>
      <w:r>
        <w:rPr>
          <w:b/>
        </w:rPr>
        <w:t xml:space="preserve">Referencia normativa: </w:t>
      </w:r>
      <w:r>
        <w:t>D3 contrastado y completado con D1. Art. 11.3.b).7.º.</w:t>
      </w:r>
    </w:p>
    <w:p>
      <w:pPr>
        <w:pStyle w:val="Heading3"/>
        <w:keepNext/>
      </w:pPr>
      <w:r>
        <w:t>067. ¿Pueden imputarse dietas a bordo de buques o en bases antárticas?</w:t>
      </w:r>
    </w:p>
    <w:p>
      <w:pPr>
        <w:keepNext/>
      </w:pPr>
      <w:r>
        <w:rPr>
          <w:b/>
        </w:rPr>
        <w:t xml:space="preserve">Dificultad: </w:t>
      </w:r>
      <w:r>
        <w:t>Media</w:t>
      </w:r>
    </w:p>
    <w:p>
      <w:pPr>
        <w:keepNext/>
      </w:pPr>
      <w:r>
        <w:rPr>
          <w:b/>
        </w:rPr>
        <w:t xml:space="preserve">Respuesta: </w:t>
      </w:r>
      <w:r>
        <w:t>No las dietas durante la estancia en los buques gestionados por COCSABO o en bases antárticas que identifica la convocatoria. Otros desplazamientos deben analizarse separadamente.</w:t>
      </w:r>
    </w:p>
    <w:p>
      <w:pPr>
        <w:keepNext/>
      </w:pPr>
      <w:r>
        <w:rPr>
          <w:b/>
        </w:rPr>
        <w:t xml:space="preserve">Pasos o acción práctica: </w:t>
      </w:r>
      <w:r>
        <w:t>Desglosar cada fase del itinerario.</w:t>
      </w:r>
    </w:p>
    <w:p>
      <w:pPr>
        <w:keepNext/>
      </w:pPr>
      <w:r>
        <w:rPr>
          <w:b/>
        </w:rPr>
        <w:t xml:space="preserve">Errores comunes: </w:t>
      </w:r>
      <w:r>
        <w:t>Liquidar dieta por todos los días sin distinguir estancia a bordo.</w:t>
      </w:r>
    </w:p>
    <w:p>
      <w:r>
        <w:rPr>
          <w:b/>
        </w:rPr>
        <w:t xml:space="preserve">Referencia normativa: </w:t>
      </w:r>
      <w:r>
        <w:t>D3 contrastado y completado con D1. Art. 11.3.b).5.º.</w:t>
      </w:r>
    </w:p>
    <w:p>
      <w:pPr>
        <w:pStyle w:val="Heading3"/>
        <w:keepNext/>
      </w:pPr>
      <w:r>
        <w:t>068. ¿Se puede comprar equipamiento científico o informático?</w:t>
      </w:r>
    </w:p>
    <w:p>
      <w:pPr>
        <w:keepNext/>
      </w:pPr>
      <w:r>
        <w:rPr>
          <w:b/>
        </w:rPr>
        <w:t xml:space="preserve">Dificultad: </w:t>
      </w:r>
      <w:r>
        <w:t>Fácil</w:t>
      </w:r>
    </w:p>
    <w:p>
      <w:pPr>
        <w:keepNext/>
      </w:pPr>
      <w:r>
        <w:rPr>
          <w:b/>
        </w:rPr>
        <w:t xml:space="preserve">Respuesta: </w:t>
      </w:r>
      <w:r>
        <w:t>Sí, si está directa y exclusivamente relacionado con la ejecución del proyecto. También se contemplan alquiler, leasing, mantenimiento y reparación de activos materiales admisibles.</w:t>
      </w:r>
    </w:p>
    <w:p>
      <w:pPr>
        <w:keepNext/>
      </w:pPr>
      <w:r>
        <w:rPr>
          <w:b/>
        </w:rPr>
        <w:t xml:space="preserve">Pasos o acción práctica: </w:t>
      </w:r>
      <w:r>
        <w:t>Justificar función científica e inventariar cuando proceda.</w:t>
      </w:r>
    </w:p>
    <w:p>
      <w:pPr>
        <w:keepNext/>
      </w:pPr>
      <w:r>
        <w:rPr>
          <w:b/>
        </w:rPr>
        <w:t xml:space="preserve">Errores comunes: </w:t>
      </w:r>
      <w:r>
        <w:t>Comprar equipamiento general sin vinculación específica.</w:t>
      </w:r>
    </w:p>
    <w:p>
      <w:r>
        <w:rPr>
          <w:b/>
        </w:rPr>
        <w:t xml:space="preserve">Referencia normativa: </w:t>
      </w:r>
      <w:r>
        <w:t>D3 contrastado y completado con D1. Art. 11.3.c).</w:t>
      </w:r>
    </w:p>
    <w:p>
      <w:pPr>
        <w:pStyle w:val="Heading3"/>
        <w:keepNext/>
      </w:pPr>
      <w:r>
        <w:t>069. ¿Cuánto tiempo debe mantenerse la afectación del inventariable?</w:t>
      </w:r>
    </w:p>
    <w:p>
      <w:pPr>
        <w:keepNext/>
      </w:pPr>
      <w:r>
        <w:rPr>
          <w:b/>
        </w:rPr>
        <w:t xml:space="preserve">Dificultad: </w:t>
      </w:r>
      <w:r>
        <w:t>Media</w:t>
      </w:r>
    </w:p>
    <w:p>
      <w:pPr>
        <w:keepNext/>
      </w:pPr>
      <w:r>
        <w:rPr>
          <w:b/>
        </w:rPr>
        <w:t xml:space="preserve">Respuesta: </w:t>
      </w:r>
      <w:r>
        <w:t>La convocatoria impone al menos cinco años desde el pago final al beneficiario. No debe confundirse ese hito con la compra o la fecha de fin científico del proyecto.</w:t>
      </w:r>
    </w:p>
    <w:p>
      <w:pPr>
        <w:keepNext/>
      </w:pPr>
      <w:r>
        <w:rPr>
          <w:b/>
        </w:rPr>
        <w:t xml:space="preserve">Pasos o acción práctica: </w:t>
      </w:r>
      <w:r>
        <w:t>Registrar el bien y el inicio del periodo de afectación.</w:t>
      </w:r>
    </w:p>
    <w:p>
      <w:pPr>
        <w:keepNext/>
      </w:pPr>
      <w:r>
        <w:rPr>
          <w:b/>
        </w:rPr>
        <w:t xml:space="preserve">Errores comunes: </w:t>
      </w:r>
      <w:r>
        <w:t>Contar cinco años desde la factura.</w:t>
      </w:r>
    </w:p>
    <w:p>
      <w:r>
        <w:rPr>
          <w:b/>
        </w:rPr>
        <w:t xml:space="preserve">Referencia normativa: </w:t>
      </w:r>
      <w:r>
        <w:t>D3 contrastado y completado con D1. Art. 11.3.c); art. 31.4-5 de la Ley 38/2003, por remisión.</w:t>
      </w:r>
    </w:p>
    <w:p>
      <w:pPr>
        <w:pStyle w:val="Heading3"/>
        <w:keepNext/>
      </w:pPr>
      <w:r>
        <w:t>070. ¿Son elegibles material de oficina y fungible informático?</w:t>
      </w:r>
    </w:p>
    <w:p>
      <w:pPr>
        <w:keepNext/>
      </w:pPr>
      <w:r>
        <w:rPr>
          <w:b/>
        </w:rPr>
        <w:t xml:space="preserve">Dificultad: </w:t>
      </w:r>
      <w:r>
        <w:t>Media</w:t>
      </w:r>
    </w:p>
    <w:p>
      <w:pPr>
        <w:keepNext/>
      </w:pPr>
      <w:r>
        <w:rPr>
          <w:b/>
        </w:rPr>
        <w:t xml:space="preserve">Respuesta: </w:t>
      </w:r>
      <w:r>
        <w:t>No como costes directos. La exclusión es expresa, aunque se usen en el laboratorio o para preparar informes.</w:t>
      </w:r>
    </w:p>
    <w:p>
      <w:pPr>
        <w:keepNext/>
      </w:pPr>
      <w:r>
        <w:rPr>
          <w:b/>
        </w:rPr>
        <w:t xml:space="preserve">Pasos o acción práctica: </w:t>
      </w:r>
      <w:r>
        <w:t>Separar consumible científico y material general.</w:t>
      </w:r>
    </w:p>
    <w:p>
      <w:pPr>
        <w:keepNext/>
      </w:pPr>
      <w:r>
        <w:rPr>
          <w:b/>
        </w:rPr>
        <w:t xml:space="preserve">Errores comunes: </w:t>
      </w:r>
      <w:r>
        <w:t>Cargar papelería por estar físicamente en el proyecto.</w:t>
      </w:r>
    </w:p>
    <w:p>
      <w:r>
        <w:rPr>
          <w:b/>
        </w:rPr>
        <w:t xml:space="preserve">Referencia normativa: </w:t>
      </w:r>
      <w:r>
        <w:t>D3 contrastado y completado con D1. Art. 11.3.d).</w:t>
      </w:r>
    </w:p>
    <w:p>
      <w:pPr>
        <w:pStyle w:val="Heading3"/>
        <w:keepNext/>
      </w:pPr>
      <w:r>
        <w:t>071. ¿Se admiten programas y licencias de software?</w:t>
      </w:r>
    </w:p>
    <w:p>
      <w:pPr>
        <w:keepNext/>
      </w:pPr>
      <w:r>
        <w:rPr>
          <w:b/>
        </w:rPr>
        <w:t xml:space="preserve">Dificultad: </w:t>
      </w:r>
      <w:r>
        <w:t>Fácil</w:t>
      </w:r>
    </w:p>
    <w:p>
      <w:pPr>
        <w:keepNext/>
      </w:pPr>
      <w:r>
        <w:rPr>
          <w:b/>
        </w:rPr>
        <w:t xml:space="preserve">Respuesta: </w:t>
      </w:r>
      <w:r>
        <w:t>Se contemplan activos inmateriales y programas técnicos vinculados directamente al proyecto, con obligación de afectación. Debe justificarse la necesidad concreta de la licencia.</w:t>
      </w:r>
    </w:p>
    <w:p>
      <w:pPr>
        <w:keepNext/>
      </w:pPr>
      <w:r>
        <w:rPr>
          <w:b/>
        </w:rPr>
        <w:t xml:space="preserve">Pasos o acción práctica: </w:t>
      </w:r>
      <w:r>
        <w:t>Describir uso, duración y relación con tareas.</w:t>
      </w:r>
    </w:p>
    <w:p>
      <w:pPr>
        <w:keepNext/>
      </w:pPr>
      <w:r>
        <w:rPr>
          <w:b/>
        </w:rPr>
        <w:t xml:space="preserve">Errores comunes: </w:t>
      </w:r>
      <w:r>
        <w:t>Imputar software general sin justificar su vínculo técnico.</w:t>
      </w:r>
    </w:p>
    <w:p>
      <w:r>
        <w:rPr>
          <w:b/>
        </w:rPr>
        <w:t xml:space="preserve">Referencia normativa: </w:t>
      </w:r>
      <w:r>
        <w:t>D3 contrastado y completado con D1. Art. 11.3.e).</w:t>
      </w:r>
    </w:p>
    <w:p>
      <w:pPr>
        <w:pStyle w:val="Heading3"/>
        <w:keepNext/>
      </w:pPr>
      <w:r>
        <w:t>072. ¿Pueden cargarse patentes anteriores al proyecto?</w:t>
      </w:r>
    </w:p>
    <w:p>
      <w:pPr>
        <w:keepNext/>
      </w:pPr>
      <w:r>
        <w:rPr>
          <w:b/>
        </w:rPr>
        <w:t xml:space="preserve">Dificultad: </w:t>
      </w:r>
      <w:r>
        <w:t>Media</w:t>
      </w:r>
    </w:p>
    <w:p>
      <w:pPr>
        <w:keepNext/>
      </w:pPr>
      <w:r>
        <w:rPr>
          <w:b/>
        </w:rPr>
        <w:t xml:space="preserve">Respuesta: </w:t>
      </w:r>
      <w:r>
        <w:t>No sus ampliaciones o renovaciones cuando no fueron generadas durante la ejecución. Se admiten costes de solicitud y mantenimiento de derechos generados en el proyecto.</w:t>
      </w:r>
    </w:p>
    <w:p>
      <w:pPr>
        <w:keepNext/>
      </w:pPr>
      <w:r>
        <w:rPr>
          <w:b/>
        </w:rPr>
        <w:t xml:space="preserve">Pasos o acción práctica: </w:t>
      </w:r>
      <w:r>
        <w:t>Comprobar origen y fecha del resultado protegido.</w:t>
      </w:r>
    </w:p>
    <w:p>
      <w:pPr>
        <w:keepNext/>
      </w:pPr>
      <w:r>
        <w:rPr>
          <w:b/>
        </w:rPr>
        <w:t xml:space="preserve">Errores comunes: </w:t>
      </w:r>
      <w:r>
        <w:t>Cargar una cartera de patentes previa al equipo.</w:t>
      </w:r>
    </w:p>
    <w:p>
      <w:r>
        <w:rPr>
          <w:b/>
        </w:rPr>
        <w:t xml:space="preserve">Referencia normativa: </w:t>
      </w:r>
      <w:r>
        <w:t>D3 contrastado y completado con D1. Art. 11.3.f).</w:t>
      </w:r>
    </w:p>
    <w:p>
      <w:pPr>
        <w:pStyle w:val="Heading3"/>
        <w:keepNext/>
      </w:pPr>
      <w:r>
        <w:t>073. ¿Se financian repositorios, bancos de datos y computación?</w:t>
      </w:r>
    </w:p>
    <w:p>
      <w:pPr>
        <w:keepNext/>
      </w:pPr>
      <w:r>
        <w:rPr>
          <w:b/>
        </w:rPr>
        <w:t xml:space="preserve">Dificultad: </w:t>
      </w:r>
      <w:r>
        <w:t>Media</w:t>
      </w:r>
    </w:p>
    <w:p>
      <w:pPr>
        <w:keepNext/>
      </w:pPr>
      <w:r>
        <w:rPr>
          <w:b/>
        </w:rPr>
        <w:t xml:space="preserve">Respuesta: </w:t>
      </w:r>
      <w:r>
        <w:t>Sí, si tienen relación con el proyecto. Debe distinguirse un servicio científico necesario de un gasto general de infraestructura.</w:t>
      </w:r>
    </w:p>
    <w:p>
      <w:pPr>
        <w:keepNext/>
      </w:pPr>
      <w:r>
        <w:rPr>
          <w:b/>
        </w:rPr>
        <w:t xml:space="preserve">Pasos o acción práctica: </w:t>
      </w:r>
      <w:r>
        <w:t>Identificar datos, recursos de cálculo y tareas beneficiarias.</w:t>
      </w:r>
    </w:p>
    <w:p>
      <w:pPr>
        <w:keepNext/>
      </w:pPr>
      <w:r>
        <w:rPr>
          <w:b/>
        </w:rPr>
        <w:t xml:space="preserve">Errores comunes: </w:t>
      </w:r>
      <w:r>
        <w:t>Imputar cuotas generales sin conexión acreditada.</w:t>
      </w:r>
    </w:p>
    <w:p>
      <w:r>
        <w:rPr>
          <w:b/>
        </w:rPr>
        <w:t xml:space="preserve">Referencia normativa: </w:t>
      </w:r>
      <w:r>
        <w:t>D3 contrastado y completado con D1. Art. 11.3.g)-h).</w:t>
      </w:r>
    </w:p>
    <w:p>
      <w:pPr>
        <w:pStyle w:val="Heading3"/>
        <w:keepNext/>
      </w:pPr>
      <w:r>
        <w:t>074. ¿Son elegibles las publicaciones de acceso abierto?</w:t>
      </w:r>
    </w:p>
    <w:p>
      <w:pPr>
        <w:keepNext/>
      </w:pPr>
      <w:r>
        <w:rPr>
          <w:b/>
        </w:rPr>
        <w:t xml:space="preserve">Dificultad: </w:t>
      </w:r>
      <w:r>
        <w:t>Media</w:t>
      </w:r>
    </w:p>
    <w:p>
      <w:pPr>
        <w:keepNext/>
      </w:pPr>
      <w:r>
        <w:rPr>
          <w:b/>
        </w:rPr>
        <w:t xml:space="preserve">Respuesta: </w:t>
      </w:r>
      <w:r>
        <w:t>Sí, dentro de las condiciones del artículo 11.3.j), incluidas revisión de manuscritos y difusión de resultados. Deben respetarse exclusiones y las obligaciones de reconocimiento de financiación.</w:t>
      </w:r>
    </w:p>
    <w:p>
      <w:pPr>
        <w:keepNext/>
      </w:pPr>
      <w:r>
        <w:rPr>
          <w:b/>
        </w:rPr>
        <w:t xml:space="preserve">Pasos o acción práctica: </w:t>
      </w:r>
      <w:r>
        <w:t>Revisar revista, publicación, referencia y justificación.</w:t>
      </w:r>
    </w:p>
    <w:p>
      <w:pPr>
        <w:keepNext/>
      </w:pPr>
      <w:r>
        <w:rPr>
          <w:b/>
        </w:rPr>
        <w:t xml:space="preserve">Errores comunes: </w:t>
      </w:r>
      <w:r>
        <w:t>Pagar una publicación sin vinculación con resultados del proyecto.</w:t>
      </w:r>
    </w:p>
    <w:p>
      <w:r>
        <w:rPr>
          <w:b/>
        </w:rPr>
        <w:t xml:space="preserve">Referencia normativa: </w:t>
      </w:r>
      <w:r>
        <w:t>D3 contrastado y completado con D1. Art. 11.3.j).</w:t>
      </w:r>
    </w:p>
    <w:p>
      <w:pPr>
        <w:pStyle w:val="Heading3"/>
        <w:keepNext/>
      </w:pPr>
      <w:r>
        <w:t>075. ¿Se pueden pagar publicaciones en special issues?</w:t>
      </w:r>
    </w:p>
    <w:p>
      <w:pPr>
        <w:keepNext/>
      </w:pPr>
      <w:r>
        <w:rPr>
          <w:b/>
        </w:rPr>
        <w:t xml:space="preserve">Dificultad: </w:t>
      </w:r>
      <w:r>
        <w:t>Media</w:t>
      </w:r>
    </w:p>
    <w:p>
      <w:pPr>
        <w:keepNext/>
      </w:pPr>
      <w:r>
        <w:rPr>
          <w:b/>
        </w:rPr>
        <w:t xml:space="preserve">Respuesta: </w:t>
      </w:r>
      <w:r>
        <w:t>La convocatoria excluye los costes de números o separatas especiales. Cuando la clasificación editorial sea dudosa, debe aclararse antes de comprometer el gasto.</w:t>
      </w:r>
    </w:p>
    <w:p>
      <w:pPr>
        <w:keepNext/>
      </w:pPr>
      <w:r>
        <w:rPr>
          <w:b/>
        </w:rPr>
        <w:t xml:space="preserve">Pasos o acción práctica: </w:t>
      </w:r>
      <w:r>
        <w:t>Solicitar a la editorial identificación de la modalidad y consultar a la AEI si hay duda.</w:t>
      </w:r>
    </w:p>
    <w:p>
      <w:pPr>
        <w:keepNext/>
      </w:pPr>
      <w:r>
        <w:rPr>
          <w:b/>
        </w:rPr>
        <w:t xml:space="preserve">Errores comunes: </w:t>
      </w:r>
      <w:r>
        <w:t>Considerar elegible cualquier revista con revisión por pares.</w:t>
      </w:r>
    </w:p>
    <w:p>
      <w:r>
        <w:rPr>
          <w:b/>
        </w:rPr>
        <w:t xml:space="preserve">Referencia normativa: </w:t>
      </w:r>
      <w:r>
        <w:t>D3 contrastado y completado con D1. Art. 11.3.j).</w:t>
      </w:r>
    </w:p>
    <w:p>
      <w:pPr>
        <w:pStyle w:val="Heading3"/>
        <w:keepNext/>
      </w:pPr>
      <w:r>
        <w:t>076. ¿Puede financiarse formación del personal del proyecto?</w:t>
      </w:r>
    </w:p>
    <w:p>
      <w:pPr>
        <w:keepNext/>
      </w:pPr>
      <w:r>
        <w:rPr>
          <w:b/>
        </w:rPr>
        <w:t xml:space="preserve">Dificultad: </w:t>
      </w:r>
      <w:r>
        <w:t>Media</w:t>
      </w:r>
    </w:p>
    <w:p>
      <w:pPr>
        <w:keepNext/>
      </w:pPr>
      <w:r>
        <w:rPr>
          <w:b/>
        </w:rPr>
        <w:t xml:space="preserve">Respuesta: </w:t>
      </w:r>
      <w:r>
        <w:t>Sí, si es imprescindible para ejecutarlo y es de corta duración: hasta 30 horas o un crédito ECTS. Se permite llegar hasta 90 horas con justificación específica de necesidad investigadora.</w:t>
      </w:r>
    </w:p>
    <w:p>
      <w:pPr>
        <w:keepNext/>
      </w:pPr>
      <w:r>
        <w:rPr>
          <w:b/>
        </w:rPr>
        <w:t xml:space="preserve">Pasos o acción práctica: </w:t>
      </w:r>
      <w:r>
        <w:t>Relacionar contenido del curso con tareas y duración.</w:t>
      </w:r>
    </w:p>
    <w:p>
      <w:pPr>
        <w:keepNext/>
      </w:pPr>
      <w:r>
        <w:rPr>
          <w:b/>
        </w:rPr>
        <w:t xml:space="preserve">Errores comunes: </w:t>
      </w:r>
      <w:r>
        <w:t>Imputar formación general o una titulación completa.</w:t>
      </w:r>
    </w:p>
    <w:p>
      <w:r>
        <w:rPr>
          <w:b/>
        </w:rPr>
        <w:t xml:space="preserve">Referencia normativa: </w:t>
      </w:r>
      <w:r>
        <w:t>D3 contrastado y completado con D1. Art. 11.3.k).</w:t>
      </w:r>
    </w:p>
    <w:p>
      <w:pPr>
        <w:pStyle w:val="Heading3"/>
        <w:keepNext/>
      </w:pPr>
      <w:r>
        <w:t>077. ¿Se financian seminarios, congresos y traducciones?</w:t>
      </w:r>
    </w:p>
    <w:p>
      <w:pPr>
        <w:keepNext/>
      </w:pPr>
      <w:r>
        <w:rPr>
          <w:b/>
        </w:rPr>
        <w:t xml:space="preserve">Dificultad: </w:t>
      </w:r>
      <w:r>
        <w:t>Media</w:t>
      </w:r>
    </w:p>
    <w:p>
      <w:pPr>
        <w:keepNext/>
      </w:pPr>
      <w:r>
        <w:rPr>
          <w:b/>
        </w:rPr>
        <w:t xml:space="preserve">Respuesta: </w:t>
      </w:r>
      <w:r>
        <w:t>Sí, en las condiciones previstas para organización y difusión científica vinculadas a objetivos. La necesidad debe explicarse en informes; no se admiten honorarios por participar ni pagos a conferenciantes.</w:t>
      </w:r>
    </w:p>
    <w:p>
      <w:pPr>
        <w:keepNext/>
      </w:pPr>
      <w:r>
        <w:rPr>
          <w:b/>
        </w:rPr>
        <w:t xml:space="preserve">Pasos o acción práctica: </w:t>
      </w:r>
      <w:r>
        <w:t>Separar alquiler, traducción, organización y honorarios.</w:t>
      </w:r>
    </w:p>
    <w:p>
      <w:pPr>
        <w:keepNext/>
      </w:pPr>
      <w:r>
        <w:rPr>
          <w:b/>
        </w:rPr>
        <w:t xml:space="preserve">Errores comunes: </w:t>
      </w:r>
      <w:r>
        <w:t>Incluir el pago a un ponente dentro del paquete de organización.</w:t>
      </w:r>
    </w:p>
    <w:p>
      <w:r>
        <w:rPr>
          <w:b/>
        </w:rPr>
        <w:t xml:space="preserve">Referencia normativa: </w:t>
      </w:r>
      <w:r>
        <w:t>D3 contrastado y completado con D1. Art. 11.3.l).</w:t>
      </w:r>
    </w:p>
    <w:p>
      <w:pPr>
        <w:pStyle w:val="Heading3"/>
        <w:keepNext/>
      </w:pPr>
      <w:r>
        <w:t>078. ¿Se pueden pagar inscripciones del equipo de trabajo?</w:t>
      </w:r>
    </w:p>
    <w:p>
      <w:pPr>
        <w:keepNext/>
      </w:pPr>
      <w:r>
        <w:rPr>
          <w:b/>
        </w:rPr>
        <w:t xml:space="preserve">Dificultad: </w:t>
      </w:r>
      <w:r>
        <w:t>Media</w:t>
      </w:r>
    </w:p>
    <w:p>
      <w:pPr>
        <w:keepNext/>
      </w:pPr>
      <w:r>
        <w:rPr>
          <w:b/>
        </w:rPr>
        <w:t xml:space="preserve">Respuesta: </w:t>
      </w:r>
      <w:r>
        <w:t>Sí, si figura en memoria o informes y está vinculado a una entidad elegible conforme al artículo 7. Debe existir relación con el proyecto.</w:t>
      </w:r>
    </w:p>
    <w:p>
      <w:pPr>
        <w:keepNext/>
      </w:pPr>
      <w:r>
        <w:rPr>
          <w:b/>
        </w:rPr>
        <w:t xml:space="preserve">Pasos o acción práctica: </w:t>
      </w:r>
      <w:r>
        <w:t>Verificar pertenencia institucional y papel científico.</w:t>
      </w:r>
    </w:p>
    <w:p>
      <w:pPr>
        <w:keepNext/>
      </w:pPr>
      <w:r>
        <w:rPr>
          <w:b/>
        </w:rPr>
        <w:t xml:space="preserve">Errores comunes: </w:t>
      </w:r>
      <w:r>
        <w:t>Financiar inscripción de cualquier colaborador externo sin comprobar condiciones.</w:t>
      </w:r>
    </w:p>
    <w:p>
      <w:r>
        <w:rPr>
          <w:b/>
        </w:rPr>
        <w:t xml:space="preserve">Referencia normativa: </w:t>
      </w:r>
      <w:r>
        <w:t>D3 contrastado y completado con D1. Art. 11.3.m).</w:t>
      </w:r>
    </w:p>
    <w:p>
      <w:pPr>
        <w:pStyle w:val="Heading3"/>
        <w:keepNext/>
      </w:pPr>
      <w:r>
        <w:t>079. ¿Se pueden compensar participantes de un experimento?</w:t>
      </w:r>
    </w:p>
    <w:p>
      <w:pPr>
        <w:keepNext/>
      </w:pPr>
      <w:r>
        <w:rPr>
          <w:b/>
        </w:rPr>
        <w:t xml:space="preserve">Dificultad: </w:t>
      </w:r>
      <w:r>
        <w:t>Media</w:t>
      </w:r>
    </w:p>
    <w:p>
      <w:pPr>
        <w:keepNext/>
      </w:pPr>
      <w:r>
        <w:rPr>
          <w:b/>
        </w:rPr>
        <w:t xml:space="preserve">Respuesta: </w:t>
      </w:r>
      <w:r>
        <w:t>Sí, si no están vinculados laboralmente a la entidad beneficiaria. El pago debe realizarse por transferencia con las deducciones tributarias procedentes; no se admite en especie.</w:t>
      </w:r>
    </w:p>
    <w:p>
      <w:pPr>
        <w:keepNext/>
      </w:pPr>
      <w:r>
        <w:rPr>
          <w:b/>
        </w:rPr>
        <w:t xml:space="preserve">Pasos o acción práctica: </w:t>
      </w:r>
      <w:r>
        <w:t>Documentar participación, criterio de compensación y transferencia.</w:t>
      </w:r>
    </w:p>
    <w:p>
      <w:pPr>
        <w:keepNext/>
      </w:pPr>
      <w:r>
        <w:rPr>
          <w:b/>
        </w:rPr>
        <w:t xml:space="preserve">Errores comunes: </w:t>
      </w:r>
      <w:r>
        <w:t>Entregar regalos o dinero sin trazabilidad.</w:t>
      </w:r>
    </w:p>
    <w:p>
      <w:r>
        <w:rPr>
          <w:b/>
        </w:rPr>
        <w:t xml:space="preserve">Referencia normativa: </w:t>
      </w:r>
      <w:r>
        <w:t>D3 contrastado y completado con D1. Art. 11.3.p).</w:t>
      </w:r>
    </w:p>
    <w:p>
      <w:pPr>
        <w:pStyle w:val="Heading3"/>
        <w:keepNext/>
      </w:pPr>
      <w:r>
        <w:t>080. ¿Se financia una auditoría por cambio de entidad?</w:t>
      </w:r>
    </w:p>
    <w:p>
      <w:pPr>
        <w:keepNext/>
      </w:pPr>
      <w:r>
        <w:rPr>
          <w:b/>
        </w:rPr>
        <w:t xml:space="preserve">Dificultad: </w:t>
      </w:r>
      <w:r>
        <w:t>Compleja</w:t>
      </w:r>
    </w:p>
    <w:p>
      <w:pPr>
        <w:keepNext/>
      </w:pPr>
      <w:r>
        <w:rPr>
          <w:b/>
        </w:rPr>
        <w:t xml:space="preserve">Respuesta: </w:t>
      </w:r>
      <w:r>
        <w:t>Sí, cuando el cambio exige informe de auditor, con un máximo elegible de 1.200 euros. Deben respetarse los requisitos de auditor y el supuesto específico.</w:t>
      </w:r>
    </w:p>
    <w:p>
      <w:pPr>
        <w:keepNext/>
      </w:pPr>
      <w:r>
        <w:rPr>
          <w:b/>
        </w:rPr>
        <w:t xml:space="preserve">Pasos o acción práctica: </w:t>
      </w:r>
      <w:r>
        <w:t>Presupuestar la revisión y verificar inscripción del auditor.</w:t>
      </w:r>
    </w:p>
    <w:p>
      <w:pPr>
        <w:keepNext/>
      </w:pPr>
      <w:r>
        <w:rPr>
          <w:b/>
        </w:rPr>
        <w:t xml:space="preserve">Errores comunes: </w:t>
      </w:r>
      <w:r>
        <w:t>Generalizar el límite a toda auditoría institucional.</w:t>
      </w:r>
    </w:p>
    <w:p>
      <w:r>
        <w:rPr>
          <w:b/>
        </w:rPr>
        <w:t xml:space="preserve">Referencia normativa: </w:t>
      </w:r>
      <w:r>
        <w:t>D3 contrastado y completado con D1. Arts. 11.3.o) y 25.4.a).</w:t>
      </w:r>
    </w:p>
    <w:p>
      <w:pPr>
        <w:pStyle w:val="Heading2"/>
      </w:pPr>
      <w:r>
        <w:t>Presentación y plazos: documentación</w:t>
      </w:r>
    </w:p>
    <w:p>
      <w:pPr>
        <w:pStyle w:val="Heading3"/>
        <w:keepNext/>
      </w:pPr>
      <w:r>
        <w:t>081. ¿Cuántas páginas puede tener la memoria?</w:t>
      </w:r>
    </w:p>
    <w:p>
      <w:pPr>
        <w:keepNext/>
      </w:pPr>
      <w:r>
        <w:rPr>
          <w:b/>
        </w:rPr>
        <w:t xml:space="preserve">Dificultad: </w:t>
      </w:r>
      <w:r>
        <w:t>Compleja</w:t>
      </w:r>
    </w:p>
    <w:p>
      <w:pPr>
        <w:keepNext/>
      </w:pPr>
      <w:r>
        <w:rPr>
          <w:b/>
        </w:rPr>
        <w:t xml:space="preserve">Respuesta: </w:t>
      </w:r>
      <w:r>
        <w:t>Los individuales A, B y RTA admiten 20; el individual I, 25; los coordinados de todas esas tipologías, 35. La aplicación no acepta superar esos máximos.</w:t>
      </w:r>
    </w:p>
    <w:p>
      <w:pPr>
        <w:keepNext/>
      </w:pPr>
      <w:r>
        <w:rPr>
          <w:b/>
        </w:rPr>
        <w:t xml:space="preserve">Pasos o acción práctica: </w:t>
      </w:r>
      <w:r>
        <w:t>Contar el PDF completo antes de cargarlo.</w:t>
      </w:r>
    </w:p>
    <w:p>
      <w:pPr>
        <w:keepNext/>
      </w:pPr>
      <w:r>
        <w:rPr>
          <w:b/>
        </w:rPr>
        <w:t xml:space="preserve">Errores comunes: </w:t>
      </w:r>
      <w:r>
        <w:t>Excluir anexos internos del recuento.</w:t>
      </w:r>
    </w:p>
    <w:p>
      <w:r>
        <w:rPr>
          <w:b/>
        </w:rPr>
        <w:t xml:space="preserve">Referencia normativa: </w:t>
      </w:r>
      <w:r>
        <w:t>D3 contrastado y completado con D1. Art. 18.2.a); anexo VII.</w:t>
      </w:r>
    </w:p>
    <w:p>
      <w:pPr>
        <w:pStyle w:val="Heading3"/>
        <w:keepNext/>
      </w:pPr>
      <w:r>
        <w:t>082. ¿Cuándo es obligatoria la memoria en inglés?</w:t>
      </w:r>
    </w:p>
    <w:p>
      <w:pPr>
        <w:keepNext/>
      </w:pPr>
      <w:r>
        <w:rPr>
          <w:b/>
        </w:rPr>
        <w:t xml:space="preserve">Dificultad: </w:t>
      </w:r>
      <w:r>
        <w:t>Compleja</w:t>
      </w:r>
    </w:p>
    <w:p>
      <w:pPr>
        <w:keepNext/>
      </w:pPr>
      <w:r>
        <w:rPr>
          <w:b/>
        </w:rPr>
        <w:t xml:space="preserve">Respuesta: </w:t>
      </w:r>
      <w:r>
        <w:t>Si los costes directos solicitados alcanzan 100.000 euros o si el proyecto es tipo I. En coordinados se suma el presupuesto directo de todos los subproyectos.</w:t>
      </w:r>
    </w:p>
    <w:p>
      <w:pPr>
        <w:keepNext/>
      </w:pPr>
      <w:r>
        <w:rPr>
          <w:b/>
        </w:rPr>
        <w:t xml:space="preserve">Pasos o acción práctica: </w:t>
      </w:r>
      <w:r>
        <w:t>Calcular el total coordinado antes de elegir idioma.</w:t>
      </w:r>
    </w:p>
    <w:p>
      <w:pPr>
        <w:keepNext/>
      </w:pPr>
      <w:r>
        <w:rPr>
          <w:b/>
        </w:rPr>
        <w:t xml:space="preserve">Errores comunes: </w:t>
      </w:r>
      <w:r>
        <w:t>Aplicar el umbral por subproyecto de forma aislada.</w:t>
      </w:r>
    </w:p>
    <w:p>
      <w:r>
        <w:rPr>
          <w:b/>
        </w:rPr>
        <w:t xml:space="preserve">Referencia normativa: </w:t>
      </w:r>
      <w:r>
        <w:t>D3 contrastado y completado con D1. Art. 18.2.a).</w:t>
      </w:r>
    </w:p>
    <w:p>
      <w:pPr>
        <w:pStyle w:val="Heading3"/>
        <w:keepNext/>
      </w:pPr>
      <w:r>
        <w:t>083. ¿El CVA debe estar en inglés cuando la memoria lo está?</w:t>
      </w:r>
    </w:p>
    <w:p>
      <w:pPr>
        <w:keepNext/>
      </w:pPr>
      <w:r>
        <w:rPr>
          <w:b/>
        </w:rPr>
        <w:t xml:space="preserve">Dificultad: </w:t>
      </w:r>
      <w:r>
        <w:t>Compleja</w:t>
      </w:r>
    </w:p>
    <w:p>
      <w:pPr>
        <w:keepNext/>
      </w:pPr>
      <w:r>
        <w:rPr>
          <w:b/>
        </w:rPr>
        <w:t xml:space="preserve">Respuesta: </w:t>
      </w:r>
      <w:r>
        <w:t>Solo es obligatorio en inglés para los tipo I; en los demás puede ser español o inglés y se recomienda este último. El resumen aportado vincula incorrectamente ambas obligaciones.</w:t>
      </w:r>
    </w:p>
    <w:p>
      <w:pPr>
        <w:keepNext/>
      </w:pPr>
      <w:r>
        <w:rPr>
          <w:b/>
        </w:rPr>
        <w:t xml:space="preserve">Pasos o acción práctica: </w:t>
      </w:r>
      <w:r>
        <w:t>Aplicar la regla propia del CVA.</w:t>
      </w:r>
    </w:p>
    <w:p>
      <w:pPr>
        <w:keepNext/>
      </w:pPr>
      <w:r>
        <w:rPr>
          <w:b/>
        </w:rPr>
        <w:t xml:space="preserve">Errores comunes: </w:t>
      </w:r>
      <w:r>
        <w:t>Exigir inglés por alcanzar 100.000 euros en un proyecto A o B.</w:t>
      </w:r>
    </w:p>
    <w:p>
      <w:r>
        <w:rPr>
          <w:b/>
        </w:rPr>
        <w:t xml:space="preserve">Referencia normativa: </w:t>
      </w:r>
      <w:r>
        <w:t>D3 contrastado y completado con D1. Art. 18.2.b); resumen, pp. 7-8, corrección.</w:t>
      </w:r>
    </w:p>
    <w:p>
      <w:pPr>
        <w:pStyle w:val="Heading3"/>
        <w:keepNext/>
      </w:pPr>
      <w:r>
        <w:t>084. ¿Qué modelo y extensión se exigen al CVA?</w:t>
      </w:r>
    </w:p>
    <w:p>
      <w:pPr>
        <w:keepNext/>
      </w:pPr>
      <w:r>
        <w:rPr>
          <w:b/>
        </w:rPr>
        <w:t xml:space="preserve">Dificultad: </w:t>
      </w:r>
      <w:r>
        <w:t>Compleja</w:t>
      </w:r>
    </w:p>
    <w:p>
      <w:pPr>
        <w:keepNext/>
      </w:pPr>
      <w:r>
        <w:rPr>
          <w:b/>
        </w:rPr>
        <w:t xml:space="preserve">Respuesta: </w:t>
      </w:r>
      <w:r>
        <w:t>Se usa el normalizado AEI o el generado en FECYT mediante la opción CVA-AEI. El máximo es cuatro páginas; puede incorporar méritos de toda la trayectoria.</w:t>
      </w:r>
    </w:p>
    <w:p>
      <w:pPr>
        <w:keepNext/>
      </w:pPr>
      <w:r>
        <w:rPr>
          <w:b/>
        </w:rPr>
        <w:t xml:space="preserve">Pasos o acción práctica: </w:t>
      </w:r>
      <w:r>
        <w:t>Generar el modelo correcto y revisar páginas.</w:t>
      </w:r>
    </w:p>
    <w:p>
      <w:pPr>
        <w:keepNext/>
      </w:pPr>
      <w:r>
        <w:rPr>
          <w:b/>
        </w:rPr>
        <w:t xml:space="preserve">Errores comunes: </w:t>
      </w:r>
      <w:r>
        <w:t>Adjuntar el CVN completo o un currículo libre.</w:t>
      </w:r>
    </w:p>
    <w:p>
      <w:r>
        <w:rPr>
          <w:b/>
        </w:rPr>
        <w:t xml:space="preserve">Referencia normativa: </w:t>
      </w:r>
      <w:r>
        <w:t>D3 contrastado y completado con D1. Art. 18.2.b).</w:t>
      </w:r>
    </w:p>
    <w:p>
      <w:pPr>
        <w:pStyle w:val="Heading3"/>
        <w:keepNext/>
      </w:pPr>
      <w:r>
        <w:t>085. ¿Hay que aportar un CVA de la contraparte extranjera en tipo I?</w:t>
      </w:r>
    </w:p>
    <w:p>
      <w:pPr>
        <w:keepNext/>
      </w:pPr>
      <w:r>
        <w:rPr>
          <w:b/>
        </w:rPr>
        <w:t xml:space="preserve">Dificultad: </w:t>
      </w:r>
      <w:r>
        <w:t>Compleja</w:t>
      </w:r>
    </w:p>
    <w:p>
      <w:pPr>
        <w:keepNext/>
      </w:pPr>
      <w:r>
        <w:rPr>
          <w:b/>
        </w:rPr>
        <w:t xml:space="preserve">Respuesta: </w:t>
      </w:r>
      <w:r>
        <w:t>Sí, adicionalmente al de los IP españoles, con los requisitos de formato y contenido previstos y en inglés. La memoria debe incluir también la reseña del equipo internacional.</w:t>
      </w:r>
    </w:p>
    <w:p>
      <w:pPr>
        <w:keepNext/>
      </w:pPr>
      <w:r>
        <w:rPr>
          <w:b/>
        </w:rPr>
        <w:t xml:space="preserve">Pasos o acción práctica: </w:t>
      </w:r>
      <w:r>
        <w:t>Recabar currículo del liderazgo extranjero con antelación.</w:t>
      </w:r>
    </w:p>
    <w:p>
      <w:pPr>
        <w:keepNext/>
      </w:pPr>
      <w:r>
        <w:rPr>
          <w:b/>
        </w:rPr>
        <w:t xml:space="preserve">Errores comunes: </w:t>
      </w:r>
      <w:r>
        <w:t>Adjuntar solo los CVA españoles.</w:t>
      </w:r>
    </w:p>
    <w:p>
      <w:r>
        <w:rPr>
          <w:b/>
        </w:rPr>
        <w:t xml:space="preserve">Referencia normativa: </w:t>
      </w:r>
      <w:r>
        <w:t>D3 contrastado y completado con D1. Art. 18.2.b); anexo VII.2.</w:t>
      </w:r>
    </w:p>
    <w:p>
      <w:pPr>
        <w:pStyle w:val="Heading3"/>
        <w:keepNext/>
      </w:pPr>
      <w:r>
        <w:t>086. ¿Son obligatorios todos los formatos tipográficos recomendados?</w:t>
      </w:r>
    </w:p>
    <w:p>
      <w:pPr>
        <w:keepNext/>
      </w:pPr>
      <w:r>
        <w:rPr>
          <w:b/>
        </w:rPr>
        <w:t xml:space="preserve">Dificultad: </w:t>
      </w:r>
      <w:r>
        <w:t>Compleja</w:t>
      </w:r>
    </w:p>
    <w:p>
      <w:pPr>
        <w:keepNext/>
      </w:pPr>
      <w:r>
        <w:rPr>
          <w:b/>
        </w:rPr>
        <w:t xml:space="preserve">Respuesta: </w:t>
      </w:r>
      <w:r>
        <w:t>Las fuentes, tamaños y márgenes se formulan como recomendaciones; los máximos de páginas sí son límites expresos. Debe mantenerse legibilidad y utilizar el modelo vigente.</w:t>
      </w:r>
    </w:p>
    <w:p>
      <w:pPr>
        <w:keepNext/>
      </w:pPr>
      <w:r>
        <w:rPr>
          <w:b/>
        </w:rPr>
        <w:t xml:space="preserve">Pasos o acción práctica: </w:t>
      </w:r>
      <w:r>
        <w:t>Preparar documentos claros y dentro de los máximos.</w:t>
      </w:r>
    </w:p>
    <w:p>
      <w:pPr>
        <w:keepNext/>
      </w:pPr>
      <w:r>
        <w:rPr>
          <w:b/>
        </w:rPr>
        <w:t xml:space="preserve">Errores comunes: </w:t>
      </w:r>
      <w:r>
        <w:t>Confundir recomendación tipográfica con exclusión automática.</w:t>
      </w:r>
    </w:p>
    <w:p>
      <w:r>
        <w:rPr>
          <w:b/>
        </w:rPr>
        <w:t xml:space="preserve">Referencia normativa: </w:t>
      </w:r>
      <w:r>
        <w:t>D3 contrastado y completado con D1. Art. 18.2.a)-b).</w:t>
      </w:r>
    </w:p>
    <w:p>
      <w:pPr>
        <w:pStyle w:val="Heading3"/>
        <w:keepNext/>
      </w:pPr>
      <w:r>
        <w:t>087. ¿Qué tamaño y formato tienen los documentos electrónicos?</w:t>
      </w:r>
    </w:p>
    <w:p>
      <w:pPr>
        <w:keepNext/>
      </w:pPr>
      <w:r>
        <w:rPr>
          <w:b/>
        </w:rPr>
        <w:t xml:space="preserve">Dificultad: </w:t>
      </w:r>
      <w:r>
        <w:t>Media</w:t>
      </w:r>
    </w:p>
    <w:p>
      <w:pPr>
        <w:keepNext/>
      </w:pPr>
      <w:r>
        <w:rPr>
          <w:b/>
        </w:rPr>
        <w:t xml:space="preserve">Respuesta: </w:t>
      </w:r>
      <w:r>
        <w:t>El artículo 6.2 establece PDF con un máximo de 4 MB para escritos y comunicaciones. Deben respetarse además las condiciones específicas de cada documento y la aplicación.</w:t>
      </w:r>
    </w:p>
    <w:p>
      <w:pPr>
        <w:keepNext/>
      </w:pPr>
      <w:r>
        <w:rPr>
          <w:b/>
        </w:rPr>
        <w:t xml:space="preserve">Pasos o acción práctica: </w:t>
      </w:r>
      <w:r>
        <w:t>Abrir los PDF y comprobar tamaño antes del envío.</w:t>
      </w:r>
    </w:p>
    <w:p>
      <w:pPr>
        <w:keepNext/>
      </w:pPr>
      <w:r>
        <w:rPr>
          <w:b/>
        </w:rPr>
        <w:t xml:space="preserve">Errores comunes: </w:t>
      </w:r>
      <w:r>
        <w:t>Comprimir hasta volver ilegibles tablas o firmas.</w:t>
      </w:r>
    </w:p>
    <w:p>
      <w:r>
        <w:rPr>
          <w:b/>
        </w:rPr>
        <w:t xml:space="preserve">Referencia normativa: </w:t>
      </w:r>
      <w:r>
        <w:t>D3 contrastado y completado con D1. Art. 6.2; art. 18.</w:t>
      </w:r>
    </w:p>
    <w:p>
      <w:pPr>
        <w:pStyle w:val="Heading3"/>
        <w:keepNext/>
      </w:pPr>
      <w:r>
        <w:t>088. ¿Se puede subsanar una memoria presentada en español cuando debía ir en inglés?</w:t>
      </w:r>
    </w:p>
    <w:p>
      <w:pPr>
        <w:keepNext/>
      </w:pPr>
      <w:r>
        <w:rPr>
          <w:b/>
        </w:rPr>
        <w:t xml:space="preserve">Dificultad: </w:t>
      </w:r>
      <w:r>
        <w:t>Compleja</w:t>
      </w:r>
    </w:p>
    <w:p>
      <w:pPr>
        <w:keepNext/>
      </w:pPr>
      <w:r>
        <w:rPr>
          <w:b/>
        </w:rPr>
        <w:t xml:space="preserve">Respuesta: </w:t>
      </w:r>
      <w:r>
        <w:t>Sí, mediante traducción fiel y declaración responsable del IP interlocutor si la AEI lo requiere. No puede añadirse información científica nueva aprovechando esa traducción.</w:t>
      </w:r>
    </w:p>
    <w:p>
      <w:pPr>
        <w:keepNext/>
      </w:pPr>
      <w:r>
        <w:rPr>
          <w:b/>
        </w:rPr>
        <w:t xml:space="preserve">Pasos o acción práctica: </w:t>
      </w:r>
      <w:r>
        <w:t>Conservar original y preparar traducción idéntica en contenido.</w:t>
      </w:r>
    </w:p>
    <w:p>
      <w:pPr>
        <w:keepNext/>
      </w:pPr>
      <w:r>
        <w:rPr>
          <w:b/>
        </w:rPr>
        <w:t xml:space="preserve">Errores comunes: </w:t>
      </w:r>
      <w:r>
        <w:t>Usar la subsanación para mejorar resultados u objetivos.</w:t>
      </w:r>
    </w:p>
    <w:p>
      <w:r>
        <w:rPr>
          <w:b/>
        </w:rPr>
        <w:t xml:space="preserve">Referencia normativa: </w:t>
      </w:r>
      <w:r>
        <w:t>D3 contrastado y completado con D1. Art. 19.1, último párrafo.</w:t>
      </w:r>
    </w:p>
    <w:p>
      <w:pPr>
        <w:pStyle w:val="Heading3"/>
        <w:keepNext/>
      </w:pPr>
      <w:r>
        <w:t>089. ¿Se pueden mejorar memoria y CVA después del cierre?</w:t>
      </w:r>
    </w:p>
    <w:p>
      <w:pPr>
        <w:keepNext/>
      </w:pPr>
      <w:r>
        <w:rPr>
          <w:b/>
        </w:rPr>
        <w:t xml:space="preserve">Dificultad: </w:t>
      </w:r>
      <w:r>
        <w:t>Compleja</w:t>
      </w:r>
    </w:p>
    <w:p>
      <w:pPr>
        <w:keepNext/>
      </w:pPr>
      <w:r>
        <w:rPr>
          <w:b/>
        </w:rPr>
        <w:t xml:space="preserve">Respuesta: </w:t>
      </w:r>
      <w:r>
        <w:t>No. La evaluación utiliza el contenido existente al cierre, y la subsanación o aclaración no admite ampliar ni mejorar la información inicial.</w:t>
      </w:r>
    </w:p>
    <w:p>
      <w:pPr>
        <w:keepNext/>
      </w:pPr>
      <w:r>
        <w:rPr>
          <w:b/>
        </w:rPr>
        <w:t xml:space="preserve">Pasos o acción práctica: </w:t>
      </w:r>
      <w:r>
        <w:t>Revisar los documentos definitivos antes del registro.</w:t>
      </w:r>
    </w:p>
    <w:p>
      <w:pPr>
        <w:keepNext/>
      </w:pPr>
      <w:r>
        <w:rPr>
          <w:b/>
        </w:rPr>
        <w:t xml:space="preserve">Errores comunes: </w:t>
      </w:r>
      <w:r>
        <w:t>Añadir publicaciones nuevas en respuesta a un requerimiento.</w:t>
      </w:r>
    </w:p>
    <w:p>
      <w:r>
        <w:rPr>
          <w:b/>
        </w:rPr>
        <w:t xml:space="preserve">Referencia normativa: </w:t>
      </w:r>
      <w:r>
        <w:t>D3 contrastado y completado con D1. Arts. 18.4 y 19.1.</w:t>
      </w:r>
    </w:p>
    <w:p>
      <w:pPr>
        <w:pStyle w:val="Heading3"/>
        <w:keepNext/>
      </w:pPr>
      <w:r>
        <w:t>090. ¿Cuánto dura el plazo de subsanación?</w:t>
      </w:r>
    </w:p>
    <w:p>
      <w:pPr>
        <w:keepNext/>
      </w:pPr>
      <w:r>
        <w:rPr>
          <w:b/>
        </w:rPr>
        <w:t xml:space="preserve">Dificultad: </w:t>
      </w:r>
      <w:r>
        <w:t>Compleja</w:t>
      </w:r>
    </w:p>
    <w:p>
      <w:pPr>
        <w:keepNext/>
      </w:pPr>
      <w:r>
        <w:rPr>
          <w:b/>
        </w:rPr>
        <w:t xml:space="preserve">Respuesta: </w:t>
      </w:r>
      <w:r>
        <w:t>Diez días hábiles según el requerimiento del artículo 19.1. La respuesta se tramita por Facilit@ y debe completarse con firma y registro institucional dentro del plazo.</w:t>
      </w:r>
    </w:p>
    <w:p>
      <w:pPr>
        <w:keepNext/>
      </w:pPr>
      <w:r>
        <w:rPr>
          <w:b/>
        </w:rPr>
        <w:t xml:space="preserve">Pasos o acción práctica: </w:t>
      </w:r>
      <w:r>
        <w:t>Anotar notificación, vencimiento y documentación requerida.</w:t>
      </w:r>
    </w:p>
    <w:p>
      <w:pPr>
        <w:keepNext/>
      </w:pPr>
      <w:r>
        <w:rPr>
          <w:b/>
        </w:rPr>
        <w:t xml:space="preserve">Errores comunes: </w:t>
      </w:r>
      <w:r>
        <w:t>Contar días naturales o entregar solo al IP.</w:t>
      </w:r>
    </w:p>
    <w:p>
      <w:r>
        <w:rPr>
          <w:b/>
        </w:rPr>
        <w:t xml:space="preserve">Referencia normativa: </w:t>
      </w:r>
      <w:r>
        <w:t>D3 contrastado y completado con D1. Arts. 19.1 y 6.8-9.</w:t>
      </w:r>
    </w:p>
    <w:p>
      <w:pPr>
        <w:pStyle w:val="Heading3"/>
        <w:keepNext/>
      </w:pPr>
      <w:r>
        <w:t>091. ¿Puede desbloquearse una solicitud antes de la firma?</w:t>
      </w:r>
    </w:p>
    <w:p>
      <w:pPr>
        <w:keepNext/>
      </w:pPr>
      <w:r>
        <w:rPr>
          <w:b/>
        </w:rPr>
        <w:t xml:space="preserve">Dificultad: </w:t>
      </w:r>
      <w:r>
        <w:t>Media</w:t>
      </w:r>
    </w:p>
    <w:p>
      <w:pPr>
        <w:keepNext/>
      </w:pPr>
      <w:r>
        <w:rPr>
          <w:b/>
        </w:rPr>
        <w:t xml:space="preserve">Respuesta: </w:t>
      </w:r>
      <w:r>
        <w:t>La guía operativa oficial permite que la representación legal la desbloquee desde la aplicación de firma si todavía no está firmada. Debe volver a revisarse y finalizarse dentro del plazo.</w:t>
      </w:r>
    </w:p>
    <w:p>
      <w:pPr>
        <w:keepNext/>
      </w:pPr>
      <w:r>
        <w:rPr>
          <w:b/>
        </w:rPr>
        <w:t xml:space="preserve">Pasos o acción práctica: </w:t>
      </w:r>
      <w:r>
        <w:t>Comprobar estado antes de solicitar desbloqueo.</w:t>
      </w:r>
    </w:p>
    <w:p>
      <w:pPr>
        <w:keepNext/>
      </w:pPr>
      <w:r>
        <w:rPr>
          <w:b/>
        </w:rPr>
        <w:t xml:space="preserve">Errores comunes: </w:t>
      </w:r>
      <w:r>
        <w:t>Confundir solicitud generada con solicitud registrada.</w:t>
      </w:r>
    </w:p>
    <w:p>
      <w:r>
        <w:rPr>
          <w:b/>
        </w:rPr>
        <w:t xml:space="preserve">Referencia normativa: </w:t>
      </w:r>
      <w:r>
        <w:t>D3 contrastado y completado con D1. Art. 17.5-10; página AEI, Presentación de solicitudes; resumen, p. 4.</w:t>
      </w:r>
    </w:p>
    <w:p>
      <w:pPr>
        <w:pStyle w:val="Heading3"/>
        <w:keepNext/>
      </w:pPr>
      <w:r>
        <w:t>092. ¿Cómo se corrige un expediente ya firmado y registrado?</w:t>
      </w:r>
    </w:p>
    <w:p>
      <w:pPr>
        <w:keepNext/>
      </w:pPr>
      <w:r>
        <w:rPr>
          <w:b/>
        </w:rPr>
        <w:t xml:space="preserve">Dificultad: </w:t>
      </w:r>
      <w:r>
        <w:t>Media</w:t>
      </w:r>
    </w:p>
    <w:p>
      <w:pPr>
        <w:keepNext/>
      </w:pPr>
      <w:r>
        <w:rPr>
          <w:b/>
        </w:rPr>
        <w:t xml:space="preserve">Respuesta: </w:t>
      </w:r>
      <w:r>
        <w:t>La guía operativa AEI indica solicitar su eliminación por registro y volver a introducirlo. No debe asumirse que la eliminación será inmediata ni que amplíe el plazo final.</w:t>
      </w:r>
    </w:p>
    <w:p>
      <w:pPr>
        <w:keepNext/>
      </w:pPr>
      <w:r>
        <w:rPr>
          <w:b/>
        </w:rPr>
        <w:t xml:space="preserve">Pasos o acción práctica: </w:t>
      </w:r>
      <w:r>
        <w:t>Coordinar la incidencia con soporte AEI y la representación legal.</w:t>
      </w:r>
    </w:p>
    <w:p>
      <w:pPr>
        <w:keepNext/>
      </w:pPr>
      <w:r>
        <w:rPr>
          <w:b/>
        </w:rPr>
        <w:t xml:space="preserve">Errores comunes: </w:t>
      </w:r>
      <w:r>
        <w:t>Cancelar al final del plazo sin tiempo real para registrar una nueva solicitud.</w:t>
      </w:r>
    </w:p>
    <w:p>
      <w:r>
        <w:rPr>
          <w:b/>
        </w:rPr>
        <w:t xml:space="preserve">Referencia normativa: </w:t>
      </w:r>
      <w:r>
        <w:t>D3 contrastado y completado con D1. Art. 17.1 y 17.10; página AEI, Presentación de solicitudes; resumen, p. 4.</w:t>
      </w:r>
    </w:p>
    <w:p>
      <w:pPr>
        <w:pStyle w:val="Heading3"/>
        <w:keepNext/>
      </w:pPr>
      <w:r>
        <w:t>093. ¿Qué resúmenes e identificadores exige el formulario?</w:t>
      </w:r>
    </w:p>
    <w:p>
      <w:pPr>
        <w:keepNext/>
      </w:pPr>
      <w:r>
        <w:rPr>
          <w:b/>
        </w:rPr>
        <w:t xml:space="preserve">Dificultad: </w:t>
      </w:r>
      <w:r>
        <w:t>Media</w:t>
      </w:r>
    </w:p>
    <w:p>
      <w:pPr>
        <w:keepNext/>
      </w:pPr>
      <w:r>
        <w:rPr>
          <w:b/>
        </w:rPr>
        <w:t xml:space="preserve">Respuesta: </w:t>
      </w:r>
      <w:r>
        <w:t>Incluye resumen en español e inglés, datos de IP y equipo de investigación con ORCID, y equipo de trabajo con ORCID si lo tiene. Parte de la información puede publicarse si hay financiación o propuesta.</w:t>
      </w:r>
    </w:p>
    <w:p>
      <w:pPr>
        <w:keepNext/>
      </w:pPr>
      <w:r>
        <w:rPr>
          <w:b/>
        </w:rPr>
        <w:t xml:space="preserve">Pasos o acción práctica: </w:t>
      </w:r>
      <w:r>
        <w:t>Revisar identidad, idioma y datos destinados a publicidad.</w:t>
      </w:r>
    </w:p>
    <w:p>
      <w:pPr>
        <w:keepNext/>
      </w:pPr>
      <w:r>
        <w:rPr>
          <w:b/>
        </w:rPr>
        <w:t xml:space="preserve">Errores comunes: </w:t>
      </w:r>
      <w:r>
        <w:t>Incluir información confidencial innecesaria en el resumen.</w:t>
      </w:r>
    </w:p>
    <w:p>
      <w:r>
        <w:rPr>
          <w:b/>
        </w:rPr>
        <w:t xml:space="preserve">Referencia normativa: </w:t>
      </w:r>
      <w:r>
        <w:t>D3 contrastado y completado con D1. Art. 18.1.e)-h).</w:t>
      </w:r>
    </w:p>
    <w:p>
      <w:pPr>
        <w:pStyle w:val="Heading3"/>
        <w:keepNext/>
      </w:pPr>
      <w:r>
        <w:t>094. ¿Qué documentación adicional necesitan campañas marinas o antárticas?</w:t>
      </w:r>
    </w:p>
    <w:p>
      <w:pPr>
        <w:keepNext/>
      </w:pPr>
      <w:r>
        <w:rPr>
          <w:b/>
        </w:rPr>
        <w:t xml:space="preserve">Dificultad: </w:t>
      </w:r>
      <w:r>
        <w:t>Media</w:t>
      </w:r>
    </w:p>
    <w:p>
      <w:pPr>
        <w:keepNext/>
      </w:pPr>
      <w:r>
        <w:rPr>
          <w:b/>
        </w:rPr>
        <w:t xml:space="preserve">Respuesta: </w:t>
      </w:r>
      <w:r>
        <w:t>Se aportan planes de campaña, solicitudes de tiempo de uso y, en Antártida, los documentos logísticos y ambientales exigidos. Las autorizaciones de actividad se revisan también según el anexo IV.</w:t>
      </w:r>
    </w:p>
    <w:p>
      <w:pPr>
        <w:keepNext/>
      </w:pPr>
      <w:r>
        <w:rPr>
          <w:b/>
        </w:rPr>
        <w:t xml:space="preserve">Pasos o acción práctica: </w:t>
      </w:r>
      <w:r>
        <w:t>Utilizar los modelos aplicables y coordinar logística con antelación.</w:t>
      </w:r>
    </w:p>
    <w:p>
      <w:pPr>
        <w:keepNext/>
      </w:pPr>
      <w:r>
        <w:rPr>
          <w:b/>
        </w:rPr>
        <w:t xml:space="preserve">Errores comunes: </w:t>
      </w:r>
      <w:r>
        <w:t>Aportar únicamente una explicación en la memoria.</w:t>
      </w:r>
    </w:p>
    <w:p>
      <w:r>
        <w:rPr>
          <w:b/>
        </w:rPr>
        <w:t xml:space="preserve">Referencia normativa: </w:t>
      </w:r>
      <w:r>
        <w:t>D3 contrastado y completado con D1. Art. 18.3.b)-c); anexo IV.4.</w:t>
      </w:r>
    </w:p>
    <w:p>
      <w:pPr>
        <w:pStyle w:val="Heading2"/>
      </w:pPr>
      <w:r>
        <w:t>Subcontratación</w:t>
      </w:r>
    </w:p>
    <w:p>
      <w:pPr>
        <w:pStyle w:val="Heading3"/>
        <w:keepNext/>
      </w:pPr>
      <w:r>
        <w:t>095. ¿Cuál es el máximo general de subcontratación?</w:t>
      </w:r>
    </w:p>
    <w:p>
      <w:pPr>
        <w:keepNext/>
      </w:pPr>
      <w:r>
        <w:rPr>
          <w:b/>
        </w:rPr>
        <w:t xml:space="preserve">Dificultad: </w:t>
      </w:r>
      <w:r>
        <w:t>Compleja</w:t>
      </w:r>
    </w:p>
    <w:p>
      <w:pPr>
        <w:keepNext/>
      </w:pPr>
      <w:r>
        <w:rPr>
          <w:b/>
        </w:rPr>
        <w:t xml:space="preserve">Respuesta: </w:t>
      </w:r>
      <w:r>
        <w:t>El 25 % de la cuantía total de ayuda concedida para el proyecto. Puede incrementarse justificadamente mediante solicitud motivada y autorización, respetando las bases.</w:t>
      </w:r>
    </w:p>
    <w:p>
      <w:pPr>
        <w:keepNext/>
      </w:pPr>
      <w:r>
        <w:rPr>
          <w:b/>
        </w:rPr>
        <w:t xml:space="preserve">Pasos o acción práctica: </w:t>
      </w:r>
      <w:r>
        <w:t>Identificar actividades subcontratadas y calcular porcentaje sobre la ayuda del proyecto.</w:t>
      </w:r>
    </w:p>
    <w:p>
      <w:pPr>
        <w:keepNext/>
      </w:pPr>
      <w:r>
        <w:rPr>
          <w:b/>
        </w:rPr>
        <w:t xml:space="preserve">Errores comunes: </w:t>
      </w:r>
      <w:r>
        <w:t>Calcular sobre lo solicitado o sumar la ayuda predoctoral al denominador.</w:t>
      </w:r>
    </w:p>
    <w:p>
      <w:r>
        <w:rPr>
          <w:b/>
        </w:rPr>
        <w:t xml:space="preserve">Referencia normativa: </w:t>
      </w:r>
      <w:r>
        <w:t>D3 contrastado y completado con D1. Art. 11.3.q); art. 25.5.a); art. 9.2 de las bases, por remisión.</w:t>
      </w:r>
    </w:p>
    <w:p>
      <w:pPr>
        <w:pStyle w:val="Heading3"/>
        <w:keepNext/>
      </w:pPr>
      <w:r>
        <w:t>096. ¿Se puede dividir un encargo para eludir controles?</w:t>
      </w:r>
    </w:p>
    <w:p>
      <w:pPr>
        <w:keepNext/>
      </w:pPr>
      <w:r>
        <w:rPr>
          <w:b/>
        </w:rPr>
        <w:t xml:space="preserve">Dificultad: </w:t>
      </w:r>
      <w:r>
        <w:t>Compleja</w:t>
      </w:r>
    </w:p>
    <w:p>
      <w:pPr>
        <w:keepNext/>
      </w:pPr>
      <w:r>
        <w:rPr>
          <w:b/>
        </w:rPr>
        <w:t xml:space="preserve">Respuesta: </w:t>
      </w:r>
      <w:r>
        <w:t>No puede fraccionarse el gasto de un mismo objeto y proveedor. Además, la UVa debe cumplir las normas de contratación pública que le correspondan.</w:t>
      </w:r>
    </w:p>
    <w:p>
      <w:pPr>
        <w:keepNext/>
      </w:pPr>
      <w:r>
        <w:rPr>
          <w:b/>
        </w:rPr>
        <w:t xml:space="preserve">Pasos o acción práctica: </w:t>
      </w:r>
      <w:r>
        <w:t>Analizar la necesidad completa antes de tramitar compras o servicios.</w:t>
      </w:r>
    </w:p>
    <w:p>
      <w:pPr>
        <w:keepNext/>
      </w:pPr>
      <w:r>
        <w:rPr>
          <w:b/>
        </w:rPr>
        <w:t xml:space="preserve">Errores comunes: </w:t>
      </w:r>
      <w:r>
        <w:t>Emitir varios encargos pequeños de una misma actividad.</w:t>
      </w:r>
    </w:p>
    <w:p>
      <w:r>
        <w:rPr>
          <w:b/>
        </w:rPr>
        <w:t xml:space="preserve">Referencia normativa: </w:t>
      </w:r>
      <w:r>
        <w:t>D3 contrastado y completado con D1. Art. 11.3.q) y 11.6.</w:t>
      </w:r>
    </w:p>
    <w:p>
      <w:pPr>
        <w:pStyle w:val="Heading3"/>
        <w:keepNext/>
      </w:pPr>
      <w:r>
        <w:t>097. ¿Puede subcontratarse con una entidad vinculada?</w:t>
      </w:r>
    </w:p>
    <w:p>
      <w:pPr>
        <w:keepNext/>
      </w:pPr>
      <w:r>
        <w:rPr>
          <w:b/>
        </w:rPr>
        <w:t xml:space="preserve">Dificultad: </w:t>
      </w:r>
      <w:r>
        <w:t>Compleja</w:t>
      </w:r>
    </w:p>
    <w:p>
      <w:pPr>
        <w:keepNext/>
      </w:pPr>
      <w:r>
        <w:rPr>
          <w:b/>
        </w:rPr>
        <w:t xml:space="preserve">Respuesta: </w:t>
      </w:r>
      <w:r>
        <w:t>Hay restricciones conforme al artículo 29.7 de la LGS. La convocatoria contempla autorización con la concesión, salvo exclusión expresa, si se identificó en solicitud la entidad y su vinculación.</w:t>
      </w:r>
    </w:p>
    <w:p>
      <w:pPr>
        <w:keepNext/>
      </w:pPr>
      <w:r>
        <w:rPr>
          <w:b/>
        </w:rPr>
        <w:t xml:space="preserve">Pasos o acción práctica: </w:t>
      </w:r>
      <w:r>
        <w:t>Declarar vínculo y comprobar condiciones antes del encargo.</w:t>
      </w:r>
    </w:p>
    <w:p>
      <w:pPr>
        <w:keepNext/>
      </w:pPr>
      <w:r>
        <w:rPr>
          <w:b/>
        </w:rPr>
        <w:t xml:space="preserve">Errores comunes: </w:t>
      </w:r>
      <w:r>
        <w:t>Ocultar la relación y presumir autorización posterior.</w:t>
      </w:r>
    </w:p>
    <w:p>
      <w:r>
        <w:rPr>
          <w:b/>
        </w:rPr>
        <w:t xml:space="preserve">Referencia normativa: </w:t>
      </w:r>
      <w:r>
        <w:t>D3 contrastado y completado con D1. Art. 11.3.q); art. 29.7.d) de la Ley 38/2003, por remisión.</w:t>
      </w:r>
    </w:p>
    <w:p>
      <w:pPr>
        <w:pStyle w:val="Heading3"/>
        <w:keepNext/>
      </w:pPr>
      <w:r>
        <w:t>098. ¿Basta pedir tres ofertas para cumplir las reglas de la UVa?</w:t>
      </w:r>
    </w:p>
    <w:p>
      <w:pPr>
        <w:keepNext/>
      </w:pPr>
      <w:r>
        <w:rPr>
          <w:b/>
        </w:rPr>
        <w:t xml:space="preserve">Dificultad: </w:t>
      </w:r>
      <w:r>
        <w:t>Media</w:t>
      </w:r>
    </w:p>
    <w:p>
      <w:pPr>
        <w:keepNext/>
      </w:pPr>
      <w:r>
        <w:rPr>
          <w:b/>
        </w:rPr>
        <w:t xml:space="preserve">Respuesta: </w:t>
      </w:r>
      <w:r>
        <w:t>No sustituye la aplicación de la Ley de Contratos del Sector Público. El artículo 11.6 distingue las entidades sometidas a esa ley del régimen de ofertas que formula para las demás.</w:t>
      </w:r>
    </w:p>
    <w:p>
      <w:pPr>
        <w:keepNext/>
      </w:pPr>
      <w:r>
        <w:rPr>
          <w:b/>
        </w:rPr>
        <w:t xml:space="preserve">Pasos o acción práctica: </w:t>
      </w:r>
      <w:r>
        <w:t>Tramitar el expediente conforme al procedimiento de contratación aplicable.</w:t>
      </w:r>
    </w:p>
    <w:p>
      <w:pPr>
        <w:keepNext/>
      </w:pPr>
      <w:r>
        <w:rPr>
          <w:b/>
        </w:rPr>
        <w:t xml:space="preserve">Errores comunes: </w:t>
      </w:r>
      <w:r>
        <w:t>Usar tres presupuestos como autorización automática de cualquier compra.</w:t>
      </w:r>
    </w:p>
    <w:p>
      <w:r>
        <w:rPr>
          <w:b/>
        </w:rPr>
        <w:t xml:space="preserve">Referencia normativa: </w:t>
      </w:r>
      <w:r>
        <w:t>D3 contrastado y completado con D1. Art. 11.6; Ley 9/2017, por remisión.</w:t>
      </w:r>
    </w:p>
    <w:p>
      <w:pPr>
        <w:pStyle w:val="Heading2"/>
      </w:pPr>
      <w:r>
        <w:t>Posibilidad de utilizar servicios centrales de las universidades</w:t>
      </w:r>
    </w:p>
    <w:p>
      <w:pPr>
        <w:pStyle w:val="Heading3"/>
        <w:keepNext/>
      </w:pPr>
      <w:r>
        <w:t>099. ¿Se puede imputar el uso de servicios centrales de la UVa?</w:t>
      </w:r>
    </w:p>
    <w:p>
      <w:pPr>
        <w:keepNext/>
      </w:pPr>
      <w:r>
        <w:rPr>
          <w:b/>
        </w:rPr>
        <w:t xml:space="preserve">Dificultad: </w:t>
      </w:r>
      <w:r>
        <w:t>Media</w:t>
      </w:r>
    </w:p>
    <w:p>
      <w:pPr>
        <w:keepNext/>
      </w:pPr>
      <w:r>
        <w:rPr>
          <w:b/>
        </w:rPr>
        <w:t xml:space="preserve">Respuesta: </w:t>
      </w:r>
      <w:r>
        <w:t>Sí, si las tarifas son públicas y se calculan mediante contabilidad de costes, el uso se vincula al proyecto y no se repercuten conceptos financiados de otro modo ni salarios propios.</w:t>
      </w:r>
    </w:p>
    <w:p>
      <w:pPr>
        <w:keepNext/>
      </w:pPr>
      <w:r>
        <w:rPr>
          <w:b/>
        </w:rPr>
        <w:t xml:space="preserve">Pasos o acción práctica: </w:t>
      </w:r>
      <w:r>
        <w:t>Conservar tarifa, método de cálculo y evidencia del servicio.</w:t>
      </w:r>
    </w:p>
    <w:p>
      <w:pPr>
        <w:keepNext/>
      </w:pPr>
      <w:r>
        <w:rPr>
          <w:b/>
        </w:rPr>
        <w:t xml:space="preserve">Errores comunes: </w:t>
      </w:r>
      <w:r>
        <w:t>Usar una tarifa interna sin sustento contable.</w:t>
      </w:r>
    </w:p>
    <w:p>
      <w:r>
        <w:rPr>
          <w:b/>
        </w:rPr>
        <w:t xml:space="preserve">Referencia normativa: </w:t>
      </w:r>
      <w:r>
        <w:t>D3 contrastado y completado con D1. Art. 11.3.n).</w:t>
      </w:r>
    </w:p>
    <w:p>
      <w:pPr>
        <w:pStyle w:val="Heading3"/>
        <w:keepNext/>
      </w:pPr>
      <w:r>
        <w:t>100. ¿Pueden repercutirse salarios del servicio central?</w:t>
      </w:r>
    </w:p>
    <w:p>
      <w:pPr>
        <w:keepNext/>
      </w:pPr>
      <w:r>
        <w:rPr>
          <w:b/>
        </w:rPr>
        <w:t xml:space="preserve">Dificultad: </w:t>
      </w:r>
      <w:r>
        <w:t>Media</w:t>
      </w:r>
    </w:p>
    <w:p>
      <w:pPr>
        <w:keepNext/>
      </w:pPr>
      <w:r>
        <w:rPr>
          <w:b/>
        </w:rPr>
        <w:t xml:space="preserve">Respuesta: </w:t>
      </w:r>
      <w:r>
        <w:t>No se pueden repercutir salarios del personal propio mediante este concepto. Tampoco debe financiarse dos veces un coste ya cubierto por otro concepto elegible.</w:t>
      </w:r>
    </w:p>
    <w:p>
      <w:pPr>
        <w:keepNext/>
      </w:pPr>
      <w:r>
        <w:rPr>
          <w:b/>
        </w:rPr>
        <w:t xml:space="preserve">Pasos o acción práctica: </w:t>
      </w:r>
      <w:r>
        <w:t>Revisar los componentes de tarifa imputables.</w:t>
      </w:r>
    </w:p>
    <w:p>
      <w:pPr>
        <w:keepNext/>
      </w:pPr>
      <w:r>
        <w:rPr>
          <w:b/>
        </w:rPr>
        <w:t xml:space="preserve">Errores comunes: </w:t>
      </w:r>
      <w:r>
        <w:t>Cargar la tarifa completa sin analizar conceptos excluidos.</w:t>
      </w:r>
    </w:p>
    <w:p>
      <w:r>
        <w:rPr>
          <w:b/>
        </w:rPr>
        <w:t xml:space="preserve">Referencia normativa: </w:t>
      </w:r>
      <w:r>
        <w:t>D3 contrastado y completado con D1. Art. 11.3.n).</w:t>
      </w:r>
    </w:p>
    <w:p>
      <w:pPr>
        <w:pStyle w:val="Heading3"/>
        <w:keepNext/>
      </w:pPr>
      <w:r>
        <w:t>101. ¿Es elegible el acceso a una ICTS?</w:t>
      </w:r>
    </w:p>
    <w:p>
      <w:pPr>
        <w:keepNext/>
      </w:pPr>
      <w:r>
        <w:rPr>
          <w:b/>
        </w:rPr>
        <w:t xml:space="preserve">Dificultad: </w:t>
      </w:r>
      <w:r>
        <w:t>Media</w:t>
      </w:r>
    </w:p>
    <w:p>
      <w:pPr>
        <w:keepNext/>
      </w:pPr>
      <w:r>
        <w:rPr>
          <w:b/>
        </w:rPr>
        <w:t xml:space="preserve">Respuesta: </w:t>
      </w:r>
      <w:r>
        <w:t>Sí, si se trata de uso o acceso relacionado con el proyecto y no es gratuito. También se contemplan grandes instalaciones nacionales e internacionales.</w:t>
      </w:r>
    </w:p>
    <w:p>
      <w:pPr>
        <w:keepNext/>
      </w:pPr>
      <w:r>
        <w:rPr>
          <w:b/>
        </w:rPr>
        <w:t xml:space="preserve">Pasos o acción práctica: </w:t>
      </w:r>
      <w:r>
        <w:t>Guardar reserva, servicio prestado y coste de acceso.</w:t>
      </w:r>
    </w:p>
    <w:p>
      <w:pPr>
        <w:keepNext/>
      </w:pPr>
      <w:r>
        <w:rPr>
          <w:b/>
        </w:rPr>
        <w:t xml:space="preserve">Errores comunes: </w:t>
      </w:r>
      <w:r>
        <w:t>Imputar una tarifa por un acceso que ya era gratuito.</w:t>
      </w:r>
    </w:p>
    <w:p>
      <w:r>
        <w:rPr>
          <w:b/>
        </w:rPr>
        <w:t xml:space="preserve">Referencia normativa: </w:t>
      </w:r>
      <w:r>
        <w:t>D1. Art. 11.3.ñ).</w:t>
      </w:r>
    </w:p>
    <w:p>
      <w:pPr>
        <w:pStyle w:val="Heading2"/>
      </w:pPr>
      <w:r>
        <w:t>Existencia de costes indirectos y porcentaje</w:t>
      </w:r>
    </w:p>
    <w:p>
      <w:pPr>
        <w:pStyle w:val="Heading3"/>
        <w:keepNext/>
      </w:pPr>
      <w:r>
        <w:t>102. ¿Hay costes indirectos y cuál es su porcentaje?</w:t>
      </w:r>
    </w:p>
    <w:p>
      <w:pPr>
        <w:keepNext/>
      </w:pPr>
      <w:r>
        <w:rPr>
          <w:b/>
        </w:rPr>
        <w:t xml:space="preserve">Dificultad: </w:t>
      </w:r>
      <w:r>
        <w:t>Media</w:t>
      </w:r>
    </w:p>
    <w:p>
      <w:pPr>
        <w:keepNext/>
      </w:pPr>
      <w:r>
        <w:rPr>
          <w:b/>
        </w:rPr>
        <w:t xml:space="preserve">Respuesta: </w:t>
      </w:r>
      <w:r>
        <w:t>Sí. Se determinan en la concesión y se calculan como el 25 % de los gastos directos del proyecto, sin aportar justificantes específicos de indirectos. Son distintos del 25 % de subcontratación.</w:t>
      </w:r>
    </w:p>
    <w:p>
      <w:pPr>
        <w:keepNext/>
      </w:pPr>
      <w:r>
        <w:rPr>
          <w:b/>
        </w:rPr>
        <w:t xml:space="preserve">Pasos o acción práctica: </w:t>
      </w:r>
      <w:r>
        <w:t>Separar ambos conceptos en el presupuesto y en la gestión.</w:t>
      </w:r>
    </w:p>
    <w:p>
      <w:pPr>
        <w:keepNext/>
      </w:pPr>
      <w:r>
        <w:rPr>
          <w:b/>
        </w:rPr>
        <w:t xml:space="preserve">Errores comunes: </w:t>
      </w:r>
      <w:r>
        <w:t>Confundir porcentajes iguales con reglas equivalentes.</w:t>
      </w:r>
    </w:p>
    <w:p>
      <w:r>
        <w:rPr>
          <w:b/>
        </w:rPr>
        <w:t xml:space="preserve">Referencia normativa: </w:t>
      </w:r>
      <w:r>
        <w:t>D1. Art. 11.4.</w:t>
      </w:r>
    </w:p>
    <w:p>
      <w:pPr>
        <w:pStyle w:val="Heading3"/>
        <w:keepNext/>
      </w:pPr>
      <w:r>
        <w:t>103. ¿Se puede mover dinero de indirectos a directos?</w:t>
      </w:r>
    </w:p>
    <w:p>
      <w:pPr>
        <w:keepNext/>
      </w:pPr>
      <w:r>
        <w:rPr>
          <w:b/>
        </w:rPr>
        <w:t xml:space="preserve">Dificultad: </w:t>
      </w:r>
      <w:r>
        <w:t>Compleja</w:t>
      </w:r>
    </w:p>
    <w:p>
      <w:pPr>
        <w:keepNext/>
      </w:pPr>
      <w:r>
        <w:rPr>
          <w:b/>
        </w:rPr>
        <w:t xml:space="preserve">Respuesta: </w:t>
      </w:r>
      <w:r>
        <w:t>No. El artículo 25.6 prohíbe los trasvases entre ambos conceptos. La flexibilidad dentro de los costes directos no permite superar esa separación.</w:t>
      </w:r>
    </w:p>
    <w:p>
      <w:pPr>
        <w:keepNext/>
      </w:pPr>
      <w:r>
        <w:rPr>
          <w:b/>
        </w:rPr>
        <w:t xml:space="preserve">Pasos o acción práctica: </w:t>
      </w:r>
      <w:r>
        <w:t>Controlar saldos por concepto.</w:t>
      </w:r>
    </w:p>
    <w:p>
      <w:pPr>
        <w:keepNext/>
      </w:pPr>
      <w:r>
        <w:rPr>
          <w:b/>
        </w:rPr>
        <w:t xml:space="preserve">Errores comunes: </w:t>
      </w:r>
      <w:r>
        <w:t>Usar el remanente de indirectos para ampliar una compra directa.</w:t>
      </w:r>
    </w:p>
    <w:p>
      <w:r>
        <w:rPr>
          <w:b/>
        </w:rPr>
        <w:t xml:space="preserve">Referencia normativa: </w:t>
      </w:r>
      <w:r>
        <w:t>D1. Art. 25.6.</w:t>
      </w:r>
    </w:p>
    <w:p>
      <w:pPr>
        <w:pStyle w:val="Heading3"/>
        <w:keepNext/>
      </w:pPr>
      <w:r>
        <w:t>104. ¿Los 143.350 euros predoctorales llevan automáticamente un 25 % adicional?</w:t>
      </w:r>
    </w:p>
    <w:p>
      <w:pPr>
        <w:keepNext/>
      </w:pPr>
      <w:r>
        <w:rPr>
          <w:b/>
        </w:rPr>
        <w:t xml:space="preserve">Dificultad: </w:t>
      </w:r>
      <w:r>
        <w:t>Media</w:t>
      </w:r>
    </w:p>
    <w:p>
      <w:pPr>
        <w:keepNext/>
      </w:pPr>
      <w:r>
        <w:rPr>
          <w:b/>
        </w:rPr>
        <w:t xml:space="preserve">Respuesta: </w:t>
      </w:r>
      <w:r>
        <w:t>No se prevé ese incremento automático para la ayuda predoctoral. Su desglose específico es contratación, indemnización y estancias/matrícula.</w:t>
      </w:r>
    </w:p>
    <w:p>
      <w:pPr>
        <w:keepNext/>
      </w:pPr>
      <w:r>
        <w:rPr>
          <w:b/>
        </w:rPr>
        <w:t xml:space="preserve">Pasos o acción práctica: </w:t>
      </w:r>
      <w:r>
        <w:t>Registrar la cuantía de cada componente por separado.</w:t>
      </w:r>
    </w:p>
    <w:p>
      <w:pPr>
        <w:keepNext/>
      </w:pPr>
      <w:r>
        <w:rPr>
          <w:b/>
        </w:rPr>
        <w:t xml:space="preserve">Errores comunes: </w:t>
      </w:r>
      <w:r>
        <w:t>Aplicar al contrato predoctoral la regla de indirectos del proyecto.</w:t>
      </w:r>
    </w:p>
    <w:p>
      <w:r>
        <w:rPr>
          <w:b/>
        </w:rPr>
        <w:t xml:space="preserve">Referencia normativa: </w:t>
      </w:r>
      <w:r>
        <w:t>D1. Arts. 11.4 y 14.3.</w:t>
      </w:r>
    </w:p>
    <w:p>
      <w:pPr>
        <w:pStyle w:val="Heading2"/>
      </w:pPr>
      <w:r>
        <w:t>Ejecución y modificaciones</w:t>
      </w:r>
    </w:p>
    <w:p>
      <w:pPr>
        <w:pStyle w:val="Heading3"/>
        <w:keepNext/>
      </w:pPr>
      <w:r>
        <w:t>105. ¿Cuándo pueden comenzar los proyectos?</w:t>
      </w:r>
    </w:p>
    <w:p>
      <w:pPr>
        <w:keepNext/>
      </w:pPr>
      <w:r>
        <w:rPr>
          <w:b/>
        </w:rPr>
        <w:t xml:space="preserve">Dificultad: </w:t>
      </w:r>
      <w:r>
        <w:t>Media</w:t>
      </w:r>
    </w:p>
    <w:p>
      <w:pPr>
        <w:keepNext/>
      </w:pPr>
      <w:r>
        <w:rPr>
          <w:b/>
        </w:rPr>
        <w:t xml:space="preserve">Respuesta: </w:t>
      </w:r>
      <w:r>
        <w:t>La fecha se fija en la resolución de concesión y no puede ser anterior al 1 de septiembre de 2027. La fecha de pago o de propuesta favorable no sustituye ese inicio.</w:t>
      </w:r>
    </w:p>
    <w:p>
      <w:pPr>
        <w:keepNext/>
      </w:pPr>
      <w:r>
        <w:rPr>
          <w:b/>
        </w:rPr>
        <w:t xml:space="preserve">Pasos o acción práctica: </w:t>
      </w:r>
      <w:r>
        <w:t>Configurar calendario y fecha de elegibilidad conforme a concesión.</w:t>
      </w:r>
    </w:p>
    <w:p>
      <w:pPr>
        <w:keepNext/>
      </w:pPr>
      <w:r>
        <w:rPr>
          <w:b/>
        </w:rPr>
        <w:t xml:space="preserve">Errores comunes: </w:t>
      </w:r>
      <w:r>
        <w:t>Cargar gastos desde la publicación del extracto.</w:t>
      </w:r>
    </w:p>
    <w:p>
      <w:r>
        <w:rPr>
          <w:b/>
        </w:rPr>
        <w:t xml:space="preserve">Referencia normativa: </w:t>
      </w:r>
      <w:r>
        <w:t>D1. Art. 10.4; art. 21.1.</w:t>
      </w:r>
    </w:p>
    <w:p>
      <w:pPr>
        <w:pStyle w:val="Heading3"/>
        <w:keepNext/>
      </w:pPr>
      <w:r>
        <w:t>106. ¿Cuánto duran los proyectos?</w:t>
      </w:r>
    </w:p>
    <w:p>
      <w:pPr>
        <w:keepNext/>
      </w:pPr>
      <w:r>
        <w:rPr>
          <w:b/>
        </w:rPr>
        <w:t xml:space="preserve">Dificultad: </w:t>
      </w:r>
      <w:r>
        <w:t>Media</w:t>
      </w:r>
    </w:p>
    <w:p>
      <w:pPr>
        <w:keepNext/>
      </w:pPr>
      <w:r>
        <w:rPr>
          <w:b/>
        </w:rPr>
        <w:t xml:space="preserve">Respuesta: </w:t>
      </w:r>
      <w:r>
        <w:t>Con carácter general tres o cuatro años; campañas oceanográficas, cuatro. Se permiten excepcionalmente dos años por las causas de vinculación o científicas justificadas que contempla la convocatoria.</w:t>
      </w:r>
    </w:p>
    <w:p>
      <w:pPr>
        <w:keepNext/>
      </w:pPr>
      <w:r>
        <w:rPr>
          <w:b/>
        </w:rPr>
        <w:t xml:space="preserve">Pasos o acción práctica: </w:t>
      </w:r>
      <w:r>
        <w:t>Justificar duración en solicitud y memoria.</w:t>
      </w:r>
    </w:p>
    <w:p>
      <w:pPr>
        <w:keepNext/>
      </w:pPr>
      <w:r>
        <w:rPr>
          <w:b/>
        </w:rPr>
        <w:t xml:space="preserve">Errores comunes: </w:t>
      </w:r>
      <w:r>
        <w:t>Elegir dos años sin motivación admisible.</w:t>
      </w:r>
    </w:p>
    <w:p>
      <w:r>
        <w:rPr>
          <w:b/>
        </w:rPr>
        <w:t xml:space="preserve">Referencia normativa: </w:t>
      </w:r>
      <w:r>
        <w:t>D1. Art. 10.4.</w:t>
      </w:r>
    </w:p>
    <w:p>
      <w:pPr>
        <w:pStyle w:val="Heading3"/>
        <w:keepNext/>
      </w:pPr>
      <w:r>
        <w:t>107. ¿Cuántos subproyectos puede tener un coordinado?</w:t>
      </w:r>
    </w:p>
    <w:p>
      <w:pPr>
        <w:keepNext/>
      </w:pPr>
      <w:r>
        <w:rPr>
          <w:b/>
        </w:rPr>
        <w:t xml:space="preserve">Dificultad: </w:t>
      </w:r>
      <w:r>
        <w:t>Media</w:t>
      </w:r>
    </w:p>
    <w:p>
      <w:pPr>
        <w:keepNext/>
      </w:pPr>
      <w:r>
        <w:rPr>
          <w:b/>
        </w:rPr>
        <w:t xml:space="preserve">Respuesta: </w:t>
      </w:r>
      <w:r>
        <w:t>Entre dos y seis si son A, B o RTA. En tipo I la parte nacional admite dos o tres, con el límite específico de equipos extranjeros.</w:t>
      </w:r>
    </w:p>
    <w:p>
      <w:pPr>
        <w:keepNext/>
      </w:pPr>
      <w:r>
        <w:rPr>
          <w:b/>
        </w:rPr>
        <w:t xml:space="preserve">Pasos o acción práctica: </w:t>
      </w:r>
      <w:r>
        <w:t>Validar estructura y tipología de cada subproyecto.</w:t>
      </w:r>
    </w:p>
    <w:p>
      <w:pPr>
        <w:keepNext/>
      </w:pPr>
      <w:r>
        <w:rPr>
          <w:b/>
        </w:rPr>
        <w:t xml:space="preserve">Errores comunes: </w:t>
      </w:r>
      <w:r>
        <w:t>Montar un coordinado I con seis grupos españoles.</w:t>
      </w:r>
    </w:p>
    <w:p>
      <w:r>
        <w:rPr>
          <w:b/>
        </w:rPr>
        <w:t xml:space="preserve">Referencia normativa: </w:t>
      </w:r>
      <w:r>
        <w:t>D1. Art. 10.5.a); art. 10.3.b).2.º.</w:t>
      </w:r>
    </w:p>
    <w:p>
      <w:pPr>
        <w:pStyle w:val="Heading3"/>
        <w:keepNext/>
      </w:pPr>
      <w:r>
        <w:t>108. ¿Puede un proyecto A ser el coordinador?</w:t>
      </w:r>
    </w:p>
    <w:p>
      <w:pPr>
        <w:keepNext/>
      </w:pPr>
      <w:r>
        <w:rPr>
          <w:b/>
        </w:rPr>
        <w:t xml:space="preserve">Dificultad: </w:t>
      </w:r>
      <w:r>
        <w:t>Media</w:t>
      </w:r>
    </w:p>
    <w:p>
      <w:pPr>
        <w:keepNext/>
      </w:pPr>
      <w:r>
        <w:rPr>
          <w:b/>
        </w:rPr>
        <w:t xml:space="preserve">Respuesta: </w:t>
      </w:r>
      <w:r>
        <w:t>No. El coordinador B permite subproyectos A o B; el RTA exige RTA y el I exige I. Todos deben compartir modalidad, área y periodo de ejecución según las reglas de coordinación.</w:t>
      </w:r>
    </w:p>
    <w:p>
      <w:pPr>
        <w:keepNext/>
      </w:pPr>
      <w:r>
        <w:rPr>
          <w:b/>
        </w:rPr>
        <w:t xml:space="preserve">Pasos o acción práctica: </w:t>
      </w:r>
      <w:r>
        <w:t>Comprobar el esquema global antes de abrir las solicitudes.</w:t>
      </w:r>
    </w:p>
    <w:p>
      <w:pPr>
        <w:keepNext/>
      </w:pPr>
      <w:r>
        <w:rPr>
          <w:b/>
        </w:rPr>
        <w:t xml:space="preserve">Errores comunes: </w:t>
      </w:r>
      <w:r>
        <w:t>Designar coordinador A por su papel científico.</w:t>
      </w:r>
    </w:p>
    <w:p>
      <w:r>
        <w:rPr>
          <w:b/>
        </w:rPr>
        <w:t xml:space="preserve">Referencia normativa: </w:t>
      </w:r>
      <w:r>
        <w:t>D1. Art. 10.5.b)-c) y g).</w:t>
      </w:r>
    </w:p>
    <w:p>
      <w:pPr>
        <w:pStyle w:val="Heading3"/>
        <w:keepNext/>
      </w:pPr>
      <w:r>
        <w:t>109. ¿Qué sucede si no se financia el coordinador?</w:t>
      </w:r>
    </w:p>
    <w:p>
      <w:pPr>
        <w:keepNext/>
      </w:pPr>
      <w:r>
        <w:rPr>
          <w:b/>
        </w:rPr>
        <w:t xml:space="preserve">Dificultad: </w:t>
      </w:r>
      <w:r>
        <w:t>Media</w:t>
      </w:r>
    </w:p>
    <w:p>
      <w:pPr>
        <w:keepNext/>
      </w:pPr>
      <w:r>
        <w:rPr>
          <w:b/>
        </w:rPr>
        <w:t xml:space="preserve">Respuesta: </w:t>
      </w:r>
      <w:r>
        <w:t>En B y RTA no se financian los demás subproyectos; financiar al coordinador tampoco garantiza todos. En tipo I, que cualquiera no sea propuesto para financiación impide financiar los restantes.</w:t>
      </w:r>
    </w:p>
    <w:p>
      <w:pPr>
        <w:keepNext/>
      </w:pPr>
      <w:r>
        <w:rPr>
          <w:b/>
        </w:rPr>
        <w:t xml:space="preserve">Pasos o acción práctica: </w:t>
      </w:r>
      <w:r>
        <w:t>Evaluar el riesgo de dependencia del conjunto.</w:t>
      </w:r>
    </w:p>
    <w:p>
      <w:pPr>
        <w:keepNext/>
      </w:pPr>
      <w:r>
        <w:rPr>
          <w:b/>
        </w:rPr>
        <w:t xml:space="preserve">Errores comunes: </w:t>
      </w:r>
      <w:r>
        <w:t>Interpretar cada subproyecto como concesión independiente.</w:t>
      </w:r>
    </w:p>
    <w:p>
      <w:r>
        <w:rPr>
          <w:b/>
        </w:rPr>
        <w:t xml:space="preserve">Referencia normativa: </w:t>
      </w:r>
      <w:r>
        <w:t>D1. Art. 10.5.f).</w:t>
      </w:r>
    </w:p>
    <w:p>
      <w:pPr>
        <w:pStyle w:val="Heading3"/>
        <w:keepNext/>
      </w:pPr>
      <w:r>
        <w:t>110. ¿Pueden varios subproyectos pertenecer a la UVa?</w:t>
      </w:r>
    </w:p>
    <w:p>
      <w:pPr>
        <w:keepNext/>
      </w:pPr>
      <w:r>
        <w:rPr>
          <w:b/>
        </w:rPr>
        <w:t xml:space="preserve">Dificultad: </w:t>
      </w:r>
      <w:r>
        <w:t>Media</w:t>
      </w:r>
    </w:p>
    <w:p>
      <w:pPr>
        <w:keepNext/>
      </w:pPr>
      <w:r>
        <w:rPr>
          <w:b/>
        </w:rPr>
        <w:t xml:space="preserve">Respuesta: </w:t>
      </w:r>
      <w:r>
        <w:t>Sí, si la memoria justifica una dimensión relevante por la que no es adecuado ejecutarlos como un único proyecto individual. La coincidencia institucional no elimina la necesidad de coordinación real.</w:t>
      </w:r>
    </w:p>
    <w:p>
      <w:pPr>
        <w:keepNext/>
      </w:pPr>
      <w:r>
        <w:rPr>
          <w:b/>
        </w:rPr>
        <w:t xml:space="preserve">Pasos o acción práctica: </w:t>
      </w:r>
      <w:r>
        <w:t>Explicar equipos, complementariedad y valor añadido.</w:t>
      </w:r>
    </w:p>
    <w:p>
      <w:pPr>
        <w:keepNext/>
      </w:pPr>
      <w:r>
        <w:rPr>
          <w:b/>
        </w:rPr>
        <w:t xml:space="preserve">Errores comunes: </w:t>
      </w:r>
      <w:r>
        <w:t>Dividir artificialmente una propuesta para aumentar presupuesto.</w:t>
      </w:r>
    </w:p>
    <w:p>
      <w:r>
        <w:rPr>
          <w:b/>
        </w:rPr>
        <w:t xml:space="preserve">Referencia normativa: </w:t>
      </w:r>
      <w:r>
        <w:t>D1. Art. 10.5.e).</w:t>
      </w:r>
    </w:p>
    <w:p>
      <w:pPr>
        <w:pStyle w:val="Heading3"/>
        <w:keepNext/>
      </w:pPr>
      <w:r>
        <w:t>111. ¿Hace falta autorización para cambiar las partidas de costes directos?</w:t>
      </w:r>
    </w:p>
    <w:p>
      <w:pPr>
        <w:keepNext/>
      </w:pPr>
      <w:r>
        <w:rPr>
          <w:b/>
        </w:rPr>
        <w:t xml:space="preserve">Dificultad: </w:t>
      </w:r>
      <w:r>
        <w:t>Compleja</w:t>
      </w:r>
    </w:p>
    <w:p>
      <w:pPr>
        <w:keepNext/>
      </w:pPr>
      <w:r>
        <w:rPr>
          <w:b/>
        </w:rPr>
        <w:t xml:space="preserve">Respuesta: </w:t>
      </w:r>
      <w:r>
        <w:t>El importe aprobado puede utilizarse en cualquiera de los gastos directos elegibles según necesidades, acreditando vinculación. Deben respetarse reglas especiales, objetivos y controles; no es una libertad para alterar la concesión.</w:t>
      </w:r>
    </w:p>
    <w:p>
      <w:pPr>
        <w:keepNext/>
      </w:pPr>
      <w:r>
        <w:rPr>
          <w:b/>
        </w:rPr>
        <w:t xml:space="preserve">Pasos o acción práctica: </w:t>
      </w:r>
      <w:r>
        <w:t>Documentar motivo y explicar variaciones en los informes.</w:t>
      </w:r>
    </w:p>
    <w:p>
      <w:pPr>
        <w:keepNext/>
      </w:pPr>
      <w:r>
        <w:rPr>
          <w:b/>
        </w:rPr>
        <w:t xml:space="preserve">Errores comunes: </w:t>
      </w:r>
      <w:r>
        <w:t>Aplicar flexibilidad a gastos expresamente excluidos.</w:t>
      </w:r>
    </w:p>
    <w:p>
      <w:r>
        <w:rPr>
          <w:b/>
        </w:rPr>
        <w:t xml:space="preserve">Referencia normativa: </w:t>
      </w:r>
      <w:r>
        <w:t>D1. Arts. 25.6 y 29.2.b).3.º.</w:t>
      </w:r>
    </w:p>
    <w:p>
      <w:pPr>
        <w:pStyle w:val="Heading3"/>
        <w:keepNext/>
      </w:pPr>
      <w:r>
        <w:t>112. ¿Con qué antelación se piden cambios de la resolución del proyecto?</w:t>
      </w:r>
    </w:p>
    <w:p>
      <w:pPr>
        <w:keepNext/>
      </w:pPr>
      <w:r>
        <w:rPr>
          <w:b/>
        </w:rPr>
        <w:t xml:space="preserve">Dificultad: </w:t>
      </w:r>
      <w:r>
        <w:t>Compleja</w:t>
      </w:r>
    </w:p>
    <w:p>
      <w:pPr>
        <w:keepNext/>
      </w:pPr>
      <w:r>
        <w:rPr>
          <w:b/>
        </w:rPr>
        <w:t xml:space="preserve">Respuesta: </w:t>
      </w:r>
      <w:r>
        <w:t>Como mínimo dos meses antes del fin de ejecución y con autorización expresa. Deben obedecer a causas sobrevenidas y respetar las condiciones sustantivas del artículo 25.3.</w:t>
      </w:r>
    </w:p>
    <w:p>
      <w:pPr>
        <w:keepNext/>
      </w:pPr>
      <w:r>
        <w:rPr>
          <w:b/>
        </w:rPr>
        <w:t xml:space="preserve">Pasos o acción práctica: </w:t>
      </w:r>
      <w:r>
        <w:t>Solicitar por Facilit@ con el modelo aplicable.</w:t>
      </w:r>
    </w:p>
    <w:p>
      <w:pPr>
        <w:keepNext/>
      </w:pPr>
      <w:r>
        <w:rPr>
          <w:b/>
        </w:rPr>
        <w:t xml:space="preserve">Errores comunes: </w:t>
      </w:r>
      <w:r>
        <w:t>Tramitar una prórroga después de terminar el proyecto.</w:t>
      </w:r>
    </w:p>
    <w:p>
      <w:r>
        <w:rPr>
          <w:b/>
        </w:rPr>
        <w:t xml:space="preserve">Referencia normativa: </w:t>
      </w:r>
      <w:r>
        <w:t>D1. Art. 25.1-3.</w:t>
      </w:r>
    </w:p>
    <w:p>
      <w:pPr>
        <w:pStyle w:val="Heading3"/>
        <w:keepNext/>
      </w:pPr>
      <w:r>
        <w:t>113. ¿Cuál es el máximo de ampliación del proyecto?</w:t>
      </w:r>
    </w:p>
    <w:p>
      <w:pPr>
        <w:keepNext/>
      </w:pPr>
      <w:r>
        <w:rPr>
          <w:b/>
        </w:rPr>
        <w:t xml:space="preserve">Dificultad: </w:t>
      </w:r>
      <w:r>
        <w:t>Compleja</w:t>
      </w:r>
    </w:p>
    <w:p>
      <w:pPr>
        <w:keepNext/>
      </w:pPr>
      <w:r>
        <w:rPr>
          <w:b/>
        </w:rPr>
        <w:t xml:space="preserve">Respuesta: </w:t>
      </w:r>
      <w:r>
        <w:t>No se autorizan ampliaciones que excedan la mitad de su duración inicial. En coordinados la fecha final debe mantenerse común a los subproyectos.</w:t>
      </w:r>
    </w:p>
    <w:p>
      <w:pPr>
        <w:keepNext/>
      </w:pPr>
      <w:r>
        <w:rPr>
          <w:b/>
        </w:rPr>
        <w:t xml:space="preserve">Pasos o acción práctica: </w:t>
      </w:r>
      <w:r>
        <w:t>Calcular el límite y coordinar solicitudes de todo el conjunto.</w:t>
      </w:r>
    </w:p>
    <w:p>
      <w:pPr>
        <w:keepNext/>
      </w:pPr>
      <w:r>
        <w:rPr>
          <w:b/>
        </w:rPr>
        <w:t xml:space="preserve">Errores comunes: </w:t>
      </w:r>
      <w:r>
        <w:t>Pedir una prórroga individual distinta a la del coordinador.</w:t>
      </w:r>
    </w:p>
    <w:p>
      <w:r>
        <w:rPr>
          <w:b/>
        </w:rPr>
        <w:t xml:space="preserve">Referencia normativa: </w:t>
      </w:r>
      <w:r>
        <w:t>D1. Art. 25.4.b).</w:t>
      </w:r>
    </w:p>
    <w:p>
      <w:pPr>
        <w:pStyle w:val="Heading3"/>
        <w:keepNext/>
      </w:pPr>
      <w:r>
        <w:t>114. ¿Se puede sustituir al IP durante la ejecución?</w:t>
      </w:r>
    </w:p>
    <w:p>
      <w:pPr>
        <w:keepNext/>
      </w:pPr>
      <w:r>
        <w:rPr>
          <w:b/>
        </w:rPr>
        <w:t xml:space="preserve">Dificultad: </w:t>
      </w:r>
      <w:r>
        <w:t>Compleja</w:t>
      </w:r>
    </w:p>
    <w:p>
      <w:pPr>
        <w:keepNext/>
      </w:pPr>
      <w:r>
        <w:rPr>
          <w:b/>
        </w:rPr>
        <w:t xml:space="preserve">Respuesta: </w:t>
      </w:r>
      <w:r>
        <w:t>Solo excepcionalmente, con justificación y un nuevo IP que cumpla requisitos y capacidad científica. La baja sin sustitución de uno de dos IP también exige justificación excepcional.</w:t>
      </w:r>
    </w:p>
    <w:p>
      <w:pPr>
        <w:keepNext/>
      </w:pPr>
      <w:r>
        <w:rPr>
          <w:b/>
        </w:rPr>
        <w:t xml:space="preserve">Pasos o acción práctica: </w:t>
      </w:r>
      <w:r>
        <w:t>Solicitar autorización y acreditar aptitud del nuevo liderazgo.</w:t>
      </w:r>
    </w:p>
    <w:p>
      <w:pPr>
        <w:keepNext/>
      </w:pPr>
      <w:r>
        <w:rPr>
          <w:b/>
        </w:rPr>
        <w:t xml:space="preserve">Errores comunes: </w:t>
      </w:r>
      <w:r>
        <w:t>Sustituirlo informalmente mediante un acuerdo del grupo.</w:t>
      </w:r>
    </w:p>
    <w:p>
      <w:r>
        <w:rPr>
          <w:b/>
        </w:rPr>
        <w:t xml:space="preserve">Referencia normativa: </w:t>
      </w:r>
      <w:r>
        <w:t>D1. Art. 25.4.c).</w:t>
      </w:r>
    </w:p>
    <w:p>
      <w:pPr>
        <w:pStyle w:val="Heading3"/>
        <w:keepNext/>
      </w:pPr>
      <w:r>
        <w:t>115. ¿Qué ocurre si el IP cambia de entidad o se ausenta más de ocho meses?</w:t>
      </w:r>
    </w:p>
    <w:p>
      <w:pPr>
        <w:keepNext/>
      </w:pPr>
      <w:r>
        <w:rPr>
          <w:b/>
        </w:rPr>
        <w:t xml:space="preserve">Dificultad: </w:t>
      </w:r>
      <w:r>
        <w:t>Compleja</w:t>
      </w:r>
    </w:p>
    <w:p>
      <w:pPr>
        <w:keepNext/>
      </w:pPr>
      <w:r>
        <w:rPr>
          <w:b/>
        </w:rPr>
        <w:t xml:space="preserve">Respuesta: </w:t>
      </w:r>
      <w:r>
        <w:t>El traslado exige autorización para continuar en las nuevas condiciones. Una interrupción sobrevenida del servicio activo superior a ocho meses requiere proponer un IP alternativo elegible.</w:t>
      </w:r>
    </w:p>
    <w:p>
      <w:pPr>
        <w:keepNext/>
      </w:pPr>
      <w:r>
        <w:rPr>
          <w:b/>
        </w:rPr>
        <w:t xml:space="preserve">Pasos o acción práctica: </w:t>
      </w:r>
      <w:r>
        <w:t>Comunicar cambio y proponer solución antes de comprometer continuidad.</w:t>
      </w:r>
    </w:p>
    <w:p>
      <w:pPr>
        <w:keepNext/>
      </w:pPr>
      <w:r>
        <w:rPr>
          <w:b/>
        </w:rPr>
        <w:t xml:space="preserve">Errores comunes: </w:t>
      </w:r>
      <w:r>
        <w:t>Mantener sin comunicar un liderazgo sin vinculación efectiva.</w:t>
      </w:r>
    </w:p>
    <w:p>
      <w:r>
        <w:rPr>
          <w:b/>
        </w:rPr>
        <w:t xml:space="preserve">Referencia normativa: </w:t>
      </w:r>
      <w:r>
        <w:t>D1. Arts. 23.3.b) y 25.4.d).</w:t>
      </w:r>
    </w:p>
    <w:p>
      <w:pPr>
        <w:pStyle w:val="Heading3"/>
        <w:keepNext/>
      </w:pPr>
      <w:r>
        <w:t>116. ¿Puede cambiar la entidad beneficiaria del proyecto?</w:t>
      </w:r>
    </w:p>
    <w:p>
      <w:pPr>
        <w:keepNext/>
      </w:pPr>
      <w:r>
        <w:rPr>
          <w:b/>
        </w:rPr>
        <w:t xml:space="preserve">Dificultad: </w:t>
      </w:r>
      <w:r>
        <w:t>Fácil</w:t>
      </w:r>
    </w:p>
    <w:p>
      <w:pPr>
        <w:keepNext/>
      </w:pPr>
      <w:r>
        <w:rPr>
          <w:b/>
        </w:rPr>
        <w:t xml:space="preserve">Respuesta: </w:t>
      </w:r>
      <w:r>
        <w:t>Sí, con condiciones y autorización. Normalmente se exige informe de auditor externo; si no hubo gasto, se sustituye por declaración de ambas representaciones. El cambio se realiza el 1 de enero del segundo, tercero o cuarto año, si procede.</w:t>
      </w:r>
    </w:p>
    <w:p>
      <w:pPr>
        <w:keepNext/>
      </w:pPr>
      <w:r>
        <w:rPr>
          <w:b/>
        </w:rPr>
        <w:t xml:space="preserve">Pasos o acción práctica: </w:t>
      </w:r>
      <w:r>
        <w:t>Preparar balance, aceptación y expediente completo.</w:t>
      </w:r>
    </w:p>
    <w:p>
      <w:pPr>
        <w:keepNext/>
      </w:pPr>
      <w:r>
        <w:rPr>
          <w:b/>
        </w:rPr>
        <w:t xml:space="preserve">Errores comunes: </w:t>
      </w:r>
      <w:r>
        <w:t>Trasladar fondos y ejecución sin resolución autorizadora.</w:t>
      </w:r>
    </w:p>
    <w:p>
      <w:r>
        <w:rPr>
          <w:b/>
        </w:rPr>
        <w:t xml:space="preserve">Referencia normativa: </w:t>
      </w:r>
      <w:r>
        <w:t>D1. Art. 25.4.a).</w:t>
      </w:r>
    </w:p>
    <w:p>
      <w:pPr>
        <w:pStyle w:val="Heading3"/>
        <w:keepNext/>
      </w:pPr>
      <w:r>
        <w:t>117. ¿Se pueden dar altas y bajas libres en el equipo investigador?</w:t>
      </w:r>
    </w:p>
    <w:p>
      <w:pPr>
        <w:keepNext/>
      </w:pPr>
      <w:r>
        <w:rPr>
          <w:b/>
        </w:rPr>
        <w:t xml:space="preserve">Dificultad: </w:t>
      </w:r>
      <w:r>
        <w:t>Compleja</w:t>
      </w:r>
    </w:p>
    <w:p>
      <w:pPr>
        <w:keepNext/>
      </w:pPr>
      <w:r>
        <w:rPr>
          <w:b/>
        </w:rPr>
        <w:t xml:space="preserve">Respuesta: </w:t>
      </w:r>
      <w:r>
        <w:t>No. Solo se autorizan excepcionalmente por necesidades o circunstancias sobrevenidas. La intención de participar en otro proyecto o haber terminado tareas no justifica por sí misma una baja.</w:t>
      </w:r>
    </w:p>
    <w:p>
      <w:pPr>
        <w:keepNext/>
      </w:pPr>
      <w:r>
        <w:rPr>
          <w:b/>
        </w:rPr>
        <w:t xml:space="preserve">Pasos o acción práctica: </w:t>
      </w:r>
      <w:r>
        <w:t>Motivar contribución, dedicación y necesidad del cambio.</w:t>
      </w:r>
    </w:p>
    <w:p>
      <w:pPr>
        <w:keepNext/>
      </w:pPr>
      <w:r>
        <w:rPr>
          <w:b/>
        </w:rPr>
        <w:t xml:space="preserve">Errores comunes: </w:t>
      </w:r>
      <w:r>
        <w:t>Pedir baja para eliminar una incompatibilidad futura.</w:t>
      </w:r>
    </w:p>
    <w:p>
      <w:r>
        <w:rPr>
          <w:b/>
        </w:rPr>
        <w:t xml:space="preserve">Referencia normativa: </w:t>
      </w:r>
      <w:r>
        <w:t>D1. Art. 25.5.b).</w:t>
      </w:r>
    </w:p>
    <w:p>
      <w:pPr>
        <w:pStyle w:val="Heading3"/>
        <w:keepNext/>
      </w:pPr>
      <w:r>
        <w:t>118. ¿Requieren permiso los cambios en el equipo de trabajo?</w:t>
      </w:r>
    </w:p>
    <w:p>
      <w:pPr>
        <w:keepNext/>
      </w:pPr>
      <w:r>
        <w:rPr>
          <w:b/>
        </w:rPr>
        <w:t xml:space="preserve">Dificultad: </w:t>
      </w:r>
      <w:r>
        <w:t>Compleja</w:t>
      </w:r>
    </w:p>
    <w:p>
      <w:pPr>
        <w:keepNext/>
      </w:pPr>
      <w:r>
        <w:rPr>
          <w:b/>
        </w:rPr>
        <w:t xml:space="preserve">Respuesta: </w:t>
      </w:r>
      <w:r>
        <w:t>No requieren autorización de la Subdirección de Programas Temáticos. Deben incorporarse a informes de seguimiento y final con tareas y actividades desarrolladas.</w:t>
      </w:r>
    </w:p>
    <w:p>
      <w:pPr>
        <w:keepNext/>
      </w:pPr>
      <w:r>
        <w:rPr>
          <w:b/>
        </w:rPr>
        <w:t xml:space="preserve">Pasos o acción práctica: </w:t>
      </w:r>
      <w:r>
        <w:t>Actualizar composición y evidencias de actividad.</w:t>
      </w:r>
    </w:p>
    <w:p>
      <w:pPr>
        <w:keepNext/>
      </w:pPr>
      <w:r>
        <w:rPr>
          <w:b/>
        </w:rPr>
        <w:t xml:space="preserve">Errores comunes: </w:t>
      </w:r>
      <w:r>
        <w:t>Omitir al nuevo colaborador porque no precisa autorización.</w:t>
      </w:r>
    </w:p>
    <w:p>
      <w:r>
        <w:rPr>
          <w:b/>
        </w:rPr>
        <w:t xml:space="preserve">Referencia normativa: </w:t>
      </w:r>
      <w:r>
        <w:t>D1. Art. 25.5.c).</w:t>
      </w:r>
    </w:p>
    <w:p>
      <w:pPr>
        <w:pStyle w:val="Heading3"/>
        <w:keepNext/>
      </w:pPr>
      <w:r>
        <w:t>119. ¿Hay condiciones especiales para modificar un proyecto I?</w:t>
      </w:r>
    </w:p>
    <w:p>
      <w:pPr>
        <w:keepNext/>
      </w:pPr>
      <w:r>
        <w:rPr>
          <w:b/>
        </w:rPr>
        <w:t xml:space="preserve">Dificultad: </w:t>
      </w:r>
      <w:r>
        <w:t>Compleja</w:t>
      </w:r>
    </w:p>
    <w:p>
      <w:pPr>
        <w:keepNext/>
      </w:pPr>
      <w:r>
        <w:rPr>
          <w:b/>
        </w:rPr>
        <w:t xml:space="preserve">Respuesta: </w:t>
      </w:r>
      <w:r>
        <w:t>Los cambios descritos en el artículo 25.4 requieren el visto bueno de la agencia extranjera correspondiente. Debe mantenerse coherencia bilateral.</w:t>
      </w:r>
    </w:p>
    <w:p>
      <w:pPr>
        <w:keepNext/>
      </w:pPr>
      <w:r>
        <w:rPr>
          <w:b/>
        </w:rPr>
        <w:t xml:space="preserve">Pasos o acción práctica: </w:t>
      </w:r>
      <w:r>
        <w:t>Coordinar solicitud española y conformidad extranjera.</w:t>
      </w:r>
    </w:p>
    <w:p>
      <w:pPr>
        <w:keepNext/>
      </w:pPr>
      <w:r>
        <w:rPr>
          <w:b/>
        </w:rPr>
        <w:t xml:space="preserve">Errores comunes: </w:t>
      </w:r>
      <w:r>
        <w:t>Pedir solo autorización española para cambios internacionales.</w:t>
      </w:r>
    </w:p>
    <w:p>
      <w:r>
        <w:rPr>
          <w:b/>
        </w:rPr>
        <w:t xml:space="preserve">Referencia normativa: </w:t>
      </w:r>
      <w:r>
        <w:t>D1. Art. 25.4.e).</w:t>
      </w:r>
    </w:p>
    <w:p>
      <w:pPr>
        <w:pStyle w:val="Heading2"/>
      </w:pPr>
      <w:r>
        <w:t>Ayudas predoctorales: selección, contratación y presupuesto</w:t>
      </w:r>
    </w:p>
    <w:p>
      <w:pPr>
        <w:pStyle w:val="Heading3"/>
        <w:keepNext/>
      </w:pPr>
      <w:r>
        <w:t>120. ¿Cuánto se concede por cada ayuda predoctoral?</w:t>
      </w:r>
    </w:p>
    <w:p>
      <w:pPr>
        <w:keepNext/>
      </w:pPr>
      <w:r>
        <w:rPr>
          <w:b/>
        </w:rPr>
        <w:t xml:space="preserve">Dificultad: </w:t>
      </w:r>
      <w:r>
        <w:t>Media</w:t>
      </w:r>
    </w:p>
    <w:p>
      <w:pPr>
        <w:keepNext/>
      </w:pPr>
      <w:r>
        <w:rPr>
          <w:b/>
        </w:rPr>
        <w:t xml:space="preserve">Respuesta: </w:t>
      </w:r>
      <w:r>
        <w:t>143.350 euros: 32.500 por año para contratación, 3.350 para indemnización y 10.000 para estancias y matrícula. Los importes tienen finalidades diferenciadas y están sujetos a justificación.</w:t>
      </w:r>
    </w:p>
    <w:p>
      <w:pPr>
        <w:keepNext/>
      </w:pPr>
      <w:r>
        <w:rPr>
          <w:b/>
        </w:rPr>
        <w:t xml:space="preserve">Pasos o acción práctica: </w:t>
      </w:r>
      <w:r>
        <w:t>Crear control separado por componente y anualidad.</w:t>
      </w:r>
    </w:p>
    <w:p>
      <w:pPr>
        <w:keepNext/>
      </w:pPr>
      <w:r>
        <w:rPr>
          <w:b/>
        </w:rPr>
        <w:t xml:space="preserve">Errores comunes: </w:t>
      </w:r>
      <w:r>
        <w:t>Considerar 32.500 euros como salario anual del trabajador.</w:t>
      </w:r>
    </w:p>
    <w:p>
      <w:r>
        <w:rPr>
          <w:b/>
        </w:rPr>
        <w:t xml:space="preserve">Referencia normativa: </w:t>
      </w:r>
      <w:r>
        <w:t>D1. Art. 14.3.</w:t>
      </w:r>
    </w:p>
    <w:p>
      <w:pPr>
        <w:pStyle w:val="Heading3"/>
        <w:keepNext/>
      </w:pPr>
      <w:r>
        <w:t>121. ¿Quién selecciona a la persona predoctoral?</w:t>
      </w:r>
    </w:p>
    <w:p>
      <w:pPr>
        <w:keepNext/>
      </w:pPr>
      <w:r>
        <w:rPr>
          <w:b/>
        </w:rPr>
        <w:t xml:space="preserve">Dificultad: </w:t>
      </w:r>
      <w:r>
        <w:t>Media</w:t>
      </w:r>
    </w:p>
    <w:p>
      <w:pPr>
        <w:keepNext/>
      </w:pPr>
      <w:r>
        <w:rPr>
          <w:b/>
        </w:rPr>
        <w:t xml:space="preserve">Respuesta: </w:t>
      </w:r>
      <w:r>
        <w:t>La entidad beneficiaria, mediante un procedimiento competitivo, público y transparente. Puede iniciar la selección antes de publicarse la concesión, sin convertirla en financiación garantizada.</w:t>
      </w:r>
    </w:p>
    <w:p>
      <w:pPr>
        <w:keepNext/>
      </w:pPr>
      <w:r>
        <w:rPr>
          <w:b/>
        </w:rPr>
        <w:t xml:space="preserve">Pasos o acción práctica: </w:t>
      </w:r>
      <w:r>
        <w:t>Diseñar convocatoria, criterios, actas y valoración.</w:t>
      </w:r>
    </w:p>
    <w:p>
      <w:pPr>
        <w:keepNext/>
      </w:pPr>
      <w:r>
        <w:rPr>
          <w:b/>
        </w:rPr>
        <w:t xml:space="preserve">Errores comunes: </w:t>
      </w:r>
      <w:r>
        <w:t>Confundir inicio de selección con derecho a la ayuda.</w:t>
      </w:r>
    </w:p>
    <w:p>
      <w:r>
        <w:rPr>
          <w:b/>
        </w:rPr>
        <w:t xml:space="preserve">Referencia normativa: </w:t>
      </w:r>
      <w:r>
        <w:t>D1. Art. 12.1-2.</w:t>
      </w:r>
    </w:p>
    <w:p>
      <w:pPr>
        <w:pStyle w:val="Heading3"/>
        <w:keepNext/>
      </w:pPr>
      <w:r>
        <w:t>122. ¿Es obligatorio publicar la plaza en EURAXESS?</w:t>
      </w:r>
    </w:p>
    <w:p>
      <w:pPr>
        <w:keepNext/>
      </w:pPr>
      <w:r>
        <w:rPr>
          <w:b/>
        </w:rPr>
        <w:t xml:space="preserve">Dificultad: </w:t>
      </w:r>
      <w:r>
        <w:t>Media</w:t>
      </w:r>
    </w:p>
    <w:p>
      <w:pPr>
        <w:keepNext/>
      </w:pPr>
      <w:r>
        <w:rPr>
          <w:b/>
        </w:rPr>
        <w:t xml:space="preserve">Respuesta: </w:t>
      </w:r>
      <w:r>
        <w:t>Sí. La falta de esa publicación determina reintegro parcial del 2 % de la cuantía individual total: 2.867 euros sobre 143.350. Debe aportarse el enlace al comunicar la incorporación.</w:t>
      </w:r>
    </w:p>
    <w:p>
      <w:pPr>
        <w:keepNext/>
      </w:pPr>
      <w:r>
        <w:rPr>
          <w:b/>
        </w:rPr>
        <w:t xml:space="preserve">Pasos o acción práctica: </w:t>
      </w:r>
      <w:r>
        <w:t>Publicar y guardar URL y evidencia fechada.</w:t>
      </w:r>
    </w:p>
    <w:p>
      <w:pPr>
        <w:keepNext/>
      </w:pPr>
      <w:r>
        <w:rPr>
          <w:b/>
        </w:rPr>
        <w:t xml:space="preserve">Errores comunes: </w:t>
      </w:r>
      <w:r>
        <w:t>Publicar únicamente en la web de la universidad.</w:t>
      </w:r>
    </w:p>
    <w:p>
      <w:r>
        <w:rPr>
          <w:b/>
        </w:rPr>
        <w:t xml:space="preserve">Referencia normativa: </w:t>
      </w:r>
      <w:r>
        <w:t>D1. Arts. 12.1, 14.3 y 23.4.a).</w:t>
      </w:r>
    </w:p>
    <w:p>
      <w:pPr>
        <w:pStyle w:val="Heading3"/>
        <w:keepNext/>
      </w:pPr>
      <w:r>
        <w:t>123. ¿Qué baremo se aplica a la selección predoctoral?</w:t>
      </w:r>
    </w:p>
    <w:p>
      <w:pPr>
        <w:keepNext/>
      </w:pPr>
      <w:r>
        <w:rPr>
          <w:b/>
        </w:rPr>
        <w:t xml:space="preserve">Dificultad: </w:t>
      </w:r>
      <w:r>
        <w:t>Media</w:t>
      </w:r>
    </w:p>
    <w:p>
      <w:pPr>
        <w:keepNext/>
      </w:pPr>
      <w:r>
        <w:rPr>
          <w:b/>
        </w:rPr>
        <w:t xml:space="preserve">Respuesta: </w:t>
      </w:r>
      <w:r>
        <w:t>Trayectoria académica/científica hasta 50 puntos, con aportaciones hasta 45 y movilidad hasta 5; adecuación al proyecto hasta 50. Debe elaborarse informe justificativo de la selección.</w:t>
      </w:r>
    </w:p>
    <w:p>
      <w:pPr>
        <w:keepNext/>
      </w:pPr>
      <w:r>
        <w:rPr>
          <w:b/>
        </w:rPr>
        <w:t xml:space="preserve">Pasos o acción práctica: </w:t>
      </w:r>
      <w:r>
        <w:t>Aplicar criterios y subcriterios expresamente en las actas.</w:t>
      </w:r>
    </w:p>
    <w:p>
      <w:pPr>
        <w:keepNext/>
      </w:pPr>
      <w:r>
        <w:rPr>
          <w:b/>
        </w:rPr>
        <w:t xml:space="preserve">Errores comunes: </w:t>
      </w:r>
      <w:r>
        <w:t>Diseñar un baremo que omite movilidad o adecuación.</w:t>
      </w:r>
    </w:p>
    <w:p>
      <w:r>
        <w:rPr>
          <w:b/>
        </w:rPr>
        <w:t xml:space="preserve">Referencia normativa: </w:t>
      </w:r>
      <w:r>
        <w:t>D1. Art. 12.2.</w:t>
      </w:r>
    </w:p>
    <w:p>
      <w:pPr>
        <w:pStyle w:val="Heading3"/>
        <w:keepNext/>
      </w:pPr>
      <w:r>
        <w:t>124. ¿Puede contratarse a una persona que ya sea doctora?</w:t>
      </w:r>
    </w:p>
    <w:p>
      <w:pPr>
        <w:keepNext/>
      </w:pPr>
      <w:r>
        <w:rPr>
          <w:b/>
        </w:rPr>
        <w:t xml:space="preserve">Dificultad: </w:t>
      </w:r>
      <w:r>
        <w:t>Media</w:t>
      </w:r>
    </w:p>
    <w:p>
      <w:pPr>
        <w:keepNext/>
      </w:pPr>
      <w:r>
        <w:rPr>
          <w:b/>
        </w:rPr>
        <w:t xml:space="preserve">Respuesta: </w:t>
      </w:r>
      <w:r>
        <w:t>No, ni con título español ni extranjero. La persona debe cumplir o poder cumplir al formalizar los requisitos del contrato predoctoral.</w:t>
      </w:r>
    </w:p>
    <w:p>
      <w:pPr>
        <w:keepNext/>
      </w:pPr>
      <w:r>
        <w:rPr>
          <w:b/>
        </w:rPr>
        <w:t xml:space="preserve">Pasos o acción práctica: </w:t>
      </w:r>
      <w:r>
        <w:t>Verificar situación académica antes de formalizar.</w:t>
      </w:r>
    </w:p>
    <w:p>
      <w:pPr>
        <w:keepNext/>
      </w:pPr>
      <w:r>
        <w:rPr>
          <w:b/>
        </w:rPr>
        <w:t xml:space="preserve">Errores comunes: </w:t>
      </w:r>
      <w:r>
        <w:t>Aceptar como elegible una persona doctora de otro país.</w:t>
      </w:r>
    </w:p>
    <w:p>
      <w:r>
        <w:rPr>
          <w:b/>
        </w:rPr>
        <w:t xml:space="preserve">Referencia normativa: </w:t>
      </w:r>
      <w:r>
        <w:t>D1. Art. 12.2; art. 21.a) de la Ley 14/2011, por remisión.</w:t>
      </w:r>
    </w:p>
    <w:p>
      <w:pPr>
        <w:pStyle w:val="Heading3"/>
        <w:keepNext/>
      </w:pPr>
      <w:r>
        <w:t>125. ¿Qué modalidad contractual debe utilizarse?</w:t>
      </w:r>
    </w:p>
    <w:p>
      <w:pPr>
        <w:keepNext/>
      </w:pPr>
      <w:r>
        <w:rPr>
          <w:b/>
        </w:rPr>
        <w:t xml:space="preserve">Dificultad: </w:t>
      </w:r>
      <w:r>
        <w:t>Media</w:t>
      </w:r>
    </w:p>
    <w:p>
      <w:pPr>
        <w:keepNext/>
      </w:pPr>
      <w:r>
        <w:rPr>
          <w:b/>
        </w:rPr>
        <w:t xml:space="preserve">Respuesta: </w:t>
      </w:r>
      <w:r>
        <w:t>El contrato predoctoral del artículo 21 de la Ley de la Ciencia, en los términos del EPIF y de la convocatoria. La financiación del proyecto no permite sustituirlo libremente por otra modalidad.</w:t>
      </w:r>
    </w:p>
    <w:p>
      <w:pPr>
        <w:keepNext/>
      </w:pPr>
      <w:r>
        <w:rPr>
          <w:b/>
        </w:rPr>
        <w:t xml:space="preserve">Pasos o acción práctica: </w:t>
      </w:r>
      <w:r>
        <w:t>Revisar contrato, matrícula doctoral y requisitos laborales.</w:t>
      </w:r>
    </w:p>
    <w:p>
      <w:pPr>
        <w:keepNext/>
      </w:pPr>
      <w:r>
        <w:rPr>
          <w:b/>
        </w:rPr>
        <w:t xml:space="preserve">Errores comunes: </w:t>
      </w:r>
      <w:r>
        <w:t>Usar un contrato técnico para cubrir la ayuda predoctoral.</w:t>
      </w:r>
    </w:p>
    <w:p>
      <w:r>
        <w:rPr>
          <w:b/>
        </w:rPr>
        <w:t xml:space="preserve">Referencia normativa: </w:t>
      </w:r>
      <w:r>
        <w:t>D1. Art. 12.4; Ley 14/2011, art. 21; RD 103/2019, por remisión.</w:t>
      </w:r>
    </w:p>
    <w:p>
      <w:pPr>
        <w:pStyle w:val="Heading3"/>
        <w:keepNext/>
      </w:pPr>
      <w:r>
        <w:t>126. ¿Cuándo debe incorporarse el predoctoral?</w:t>
      </w:r>
    </w:p>
    <w:p>
      <w:pPr>
        <w:keepNext/>
      </w:pPr>
      <w:r>
        <w:rPr>
          <w:b/>
        </w:rPr>
        <w:t xml:space="preserve">Dificultad: </w:t>
      </w:r>
      <w:r>
        <w:t>Media</w:t>
      </w:r>
    </w:p>
    <w:p>
      <w:pPr>
        <w:keepNext/>
      </w:pPr>
      <w:r>
        <w:rPr>
          <w:b/>
        </w:rPr>
        <w:t xml:space="preserve">Respuesta: </w:t>
      </w:r>
      <w:r>
        <w:t>En un máximo de nueve meses contado desde el día 1 del mes siguiente a la publicación web de la concesión. La incorporación debe ser el día 1 del mes; puede pedirse ampliación excepcional.</w:t>
      </w:r>
    </w:p>
    <w:p>
      <w:pPr>
        <w:keepNext/>
      </w:pPr>
      <w:r>
        <w:rPr>
          <w:b/>
        </w:rPr>
        <w:t xml:space="preserve">Pasos o acción práctica: </w:t>
      </w:r>
      <w:r>
        <w:t>Calcular vencimiento y tramitar la incorporación con antelación.</w:t>
      </w:r>
    </w:p>
    <w:p>
      <w:pPr>
        <w:keepNext/>
      </w:pPr>
      <w:r>
        <w:rPr>
          <w:b/>
        </w:rPr>
        <w:t xml:space="preserve">Errores comunes: </w:t>
      </w:r>
      <w:r>
        <w:t>Contar desde la recepción del primer pago.</w:t>
      </w:r>
    </w:p>
    <w:p>
      <w:r>
        <w:rPr>
          <w:b/>
        </w:rPr>
        <w:t xml:space="preserve">Referencia normativa: </w:t>
      </w:r>
      <w:r>
        <w:t>D1. Art. 12.1.</w:t>
      </w:r>
    </w:p>
    <w:p>
      <w:pPr>
        <w:pStyle w:val="Heading3"/>
        <w:keepNext/>
      </w:pPr>
      <w:r>
        <w:t>127. ¿Cuánto duran la ayuda y el POP?</w:t>
      </w:r>
    </w:p>
    <w:p>
      <w:pPr>
        <w:keepNext/>
      </w:pPr>
      <w:r>
        <w:rPr>
          <w:b/>
        </w:rPr>
        <w:t xml:space="preserve">Dificultad: </w:t>
      </w:r>
      <w:r>
        <w:t>Media</w:t>
      </w:r>
    </w:p>
    <w:p>
      <w:pPr>
        <w:keepNext/>
      </w:pPr>
      <w:r>
        <w:rPr>
          <w:b/>
        </w:rPr>
        <w:t xml:space="preserve">Respuesta: </w:t>
      </w:r>
      <w:r>
        <w:t>La actuación dura como máximo cuatro años, con las prórrogas admisibles. El POP puede durar hasta doce meses dentro de ese periodo si el doctorado se obtiene durante la ayuda.</w:t>
      </w:r>
    </w:p>
    <w:p>
      <w:pPr>
        <w:keepNext/>
      </w:pPr>
      <w:r>
        <w:rPr>
          <w:b/>
        </w:rPr>
        <w:t xml:space="preserve">Pasos o acción práctica: </w:t>
      </w:r>
      <w:r>
        <w:t>Planificar tesis y POP sin rebasar el periodo autorizado.</w:t>
      </w:r>
    </w:p>
    <w:p>
      <w:pPr>
        <w:keepNext/>
      </w:pPr>
      <w:r>
        <w:rPr>
          <w:b/>
        </w:rPr>
        <w:t xml:space="preserve">Errores comunes: </w:t>
      </w:r>
      <w:r>
        <w:t>Sumar automáticamente un quinto año después de la tesis.</w:t>
      </w:r>
    </w:p>
    <w:p>
      <w:r>
        <w:rPr>
          <w:b/>
        </w:rPr>
        <w:t xml:space="preserve">Referencia normativa: </w:t>
      </w:r>
      <w:r>
        <w:t>D1. Arts. 3.1 y 12.1.</w:t>
      </w:r>
    </w:p>
    <w:p>
      <w:pPr>
        <w:pStyle w:val="Heading3"/>
        <w:keepNext/>
      </w:pPr>
      <w:r>
        <w:t>128. ¿Qué pasa si la persona tuvo un contrato predoctoral anterior?</w:t>
      </w:r>
    </w:p>
    <w:p>
      <w:pPr>
        <w:keepNext/>
      </w:pPr>
      <w:r>
        <w:rPr>
          <w:b/>
        </w:rPr>
        <w:t xml:space="preserve">Dificultad: </w:t>
      </w:r>
      <w:r>
        <w:t>Media</w:t>
      </w:r>
    </w:p>
    <w:p>
      <w:pPr>
        <w:keepNext/>
      </w:pPr>
      <w:r>
        <w:rPr>
          <w:b/>
        </w:rPr>
        <w:t xml:space="preserve">Respuesta: </w:t>
      </w:r>
      <w:r>
        <w:t>Debe respetarse la duración máxima legal acumulada del artículo 21.c). La ayuda de cuatro años no concede automáticamente cuatro años contractuales adicionales.</w:t>
      </w:r>
    </w:p>
    <w:p>
      <w:pPr>
        <w:keepNext/>
      </w:pPr>
      <w:r>
        <w:rPr>
          <w:b/>
        </w:rPr>
        <w:t xml:space="preserve">Pasos o acción práctica: </w:t>
      </w:r>
      <w:r>
        <w:t>Solicitar historial y calcular duración disponible.</w:t>
      </w:r>
    </w:p>
    <w:p>
      <w:pPr>
        <w:keepNext/>
      </w:pPr>
      <w:r>
        <w:rPr>
          <w:b/>
        </w:rPr>
        <w:t xml:space="preserve">Errores comunes: </w:t>
      </w:r>
      <w:r>
        <w:t>Ignorar periodos predoctorales en otra entidad.</w:t>
      </w:r>
    </w:p>
    <w:p>
      <w:r>
        <w:rPr>
          <w:b/>
        </w:rPr>
        <w:t xml:space="preserve">Referencia normativa: </w:t>
      </w:r>
      <w:r>
        <w:t>D1. Art. 12.4; art. 21.c) de la Ley 14/2011, por remisión.</w:t>
      </w:r>
    </w:p>
    <w:p>
      <w:pPr>
        <w:pStyle w:val="Heading3"/>
        <w:keepNext/>
      </w:pPr>
      <w:r>
        <w:t>129. ¿Cuál es el mínimo retributivo previsto en la convocatoria?</w:t>
      </w:r>
    </w:p>
    <w:p>
      <w:pPr>
        <w:keepNext/>
      </w:pPr>
      <w:r>
        <w:rPr>
          <w:b/>
        </w:rPr>
        <w:t xml:space="preserve">Dificultad: </w:t>
      </w:r>
      <w:r>
        <w:t>Media</w:t>
      </w:r>
    </w:p>
    <w:p>
      <w:pPr>
        <w:keepNext/>
      </w:pPr>
      <w:r>
        <w:rPr>
          <w:b/>
        </w:rPr>
        <w:t xml:space="preserve">Respuesta: </w:t>
      </w:r>
      <w:r>
        <w:t>No puede ser inferior al 75 % de la categoría equivalente durante ninguna anualidad ni al SMI anual. Se toma como referencia mínima M3 del convenio único estatal; debe revisarse además la normativa laboral aplicable al contratar.</w:t>
      </w:r>
    </w:p>
    <w:p>
      <w:pPr>
        <w:keepNext/>
      </w:pPr>
      <w:r>
        <w:rPr>
          <w:b/>
        </w:rPr>
        <w:t xml:space="preserve">Pasos o acción práctica: </w:t>
      </w:r>
      <w:r>
        <w:t>Actualizar cálculo salarial y financiación propia necesaria.</w:t>
      </w:r>
    </w:p>
    <w:p>
      <w:pPr>
        <w:keepNext/>
      </w:pPr>
      <w:r>
        <w:rPr>
          <w:b/>
        </w:rPr>
        <w:t xml:space="preserve">Errores comunes: </w:t>
      </w:r>
      <w:r>
        <w:t>Aplicar escalas antiguas del 56 % o 60 % sin comprobar esta convocatoria.</w:t>
      </w:r>
    </w:p>
    <w:p>
      <w:r>
        <w:rPr>
          <w:b/>
        </w:rPr>
        <w:t xml:space="preserve">Referencia normativa: </w:t>
      </w:r>
      <w:r>
        <w:t>D1. Art. 12.4.</w:t>
      </w:r>
    </w:p>
    <w:p>
      <w:pPr>
        <w:pStyle w:val="Heading3"/>
        <w:keepNext/>
      </w:pPr>
      <w:r>
        <w:t>130. ¿Quién cubre los costes laborales superiores a la ayuda?</w:t>
      </w:r>
    </w:p>
    <w:p>
      <w:pPr>
        <w:keepNext/>
      </w:pPr>
      <w:r>
        <w:rPr>
          <w:b/>
        </w:rPr>
        <w:t xml:space="preserve">Dificultad: </w:t>
      </w:r>
      <w:r>
        <w:t>Media</w:t>
      </w:r>
    </w:p>
    <w:p>
      <w:pPr>
        <w:keepNext/>
      </w:pPr>
      <w:r>
        <w:rPr>
          <w:b/>
        </w:rPr>
        <w:t xml:space="preserve">Respuesta: </w:t>
      </w:r>
      <w:r>
        <w:t>La entidad contratante debe asumir el exceso por salarios, cotizaciones, tablas o cualquier otra circunstancia. El importe de subvención no limita derechos retributivos laborales.</w:t>
      </w:r>
    </w:p>
    <w:p>
      <w:pPr>
        <w:keepNext/>
      </w:pPr>
      <w:r>
        <w:rPr>
          <w:b/>
        </w:rPr>
        <w:t xml:space="preserve">Pasos o acción práctica: </w:t>
      </w:r>
      <w:r>
        <w:t>Estimar coste total y prever aportación institucional.</w:t>
      </w:r>
    </w:p>
    <w:p>
      <w:pPr>
        <w:keepNext/>
      </w:pPr>
      <w:r>
        <w:rPr>
          <w:b/>
        </w:rPr>
        <w:t xml:space="preserve">Errores comunes: </w:t>
      </w:r>
      <w:r>
        <w:t>Reducir salario porque la cuota patronal consume el presupuesto.</w:t>
      </w:r>
    </w:p>
    <w:p>
      <w:r>
        <w:rPr>
          <w:b/>
        </w:rPr>
        <w:t xml:space="preserve">Referencia normativa: </w:t>
      </w:r>
      <w:r>
        <w:t>D1. Art. 13.2.b).</w:t>
      </w:r>
    </w:p>
    <w:p>
      <w:pPr>
        <w:pStyle w:val="Heading3"/>
        <w:keepNext/>
      </w:pPr>
      <w:r>
        <w:t>131. ¿Cómo afectan las bonificaciones de Seguridad Social?</w:t>
      </w:r>
    </w:p>
    <w:p>
      <w:pPr>
        <w:keepNext/>
      </w:pPr>
      <w:r>
        <w:rPr>
          <w:b/>
        </w:rPr>
        <w:t xml:space="preserve">Dificultad: </w:t>
      </w:r>
      <w:r>
        <w:t>Compleja</w:t>
      </w:r>
    </w:p>
    <w:p>
      <w:pPr>
        <w:keepNext/>
      </w:pPr>
      <w:r>
        <w:rPr>
          <w:b/>
        </w:rPr>
        <w:t xml:space="preserve">Respuesta: </w:t>
      </w:r>
      <w:r>
        <w:t>En el cálculo del coste elegible deben descontarse las reducciones o bonificaciones asociadas a la cotización. No debe declararse como coste soportado la cuota anterior a su aplicación.</w:t>
      </w:r>
    </w:p>
    <w:p>
      <w:pPr>
        <w:keepNext/>
      </w:pPr>
      <w:r>
        <w:rPr>
          <w:b/>
        </w:rPr>
        <w:t xml:space="preserve">Pasos o acción práctica: </w:t>
      </w:r>
      <w:r>
        <w:t>Conciliar liquidación y bonificación efectiva.</w:t>
      </w:r>
    </w:p>
    <w:p>
      <w:pPr>
        <w:keepNext/>
      </w:pPr>
      <w:r>
        <w:rPr>
          <w:b/>
        </w:rPr>
        <w:t xml:space="preserve">Errores comunes: </w:t>
      </w:r>
      <w:r>
        <w:t>Cargar la cotización teórica sin reducción.</w:t>
      </w:r>
    </w:p>
    <w:p>
      <w:r>
        <w:rPr>
          <w:b/>
        </w:rPr>
        <w:t xml:space="preserve">Referencia normativa: </w:t>
      </w:r>
      <w:r>
        <w:t>D1. Art. 13.3.</w:t>
      </w:r>
    </w:p>
    <w:p>
      <w:pPr>
        <w:pStyle w:val="Heading3"/>
        <w:keepNext/>
      </w:pPr>
      <w:r>
        <w:t>132. ¿Son elegibles todas las ausencias retribuidas del predoctoral?</w:t>
      </w:r>
    </w:p>
    <w:p>
      <w:pPr>
        <w:keepNext/>
      </w:pPr>
      <w:r>
        <w:rPr>
          <w:b/>
        </w:rPr>
        <w:t xml:space="preserve">Dificultad: </w:t>
      </w:r>
      <w:r>
        <w:t>Compleja</w:t>
      </w:r>
    </w:p>
    <w:p>
      <w:pPr>
        <w:keepNext/>
      </w:pPr>
      <w:r>
        <w:rPr>
          <w:b/>
        </w:rPr>
        <w:t xml:space="preserve">Respuesta: </w:t>
      </w:r>
      <w:r>
        <w:t>No. El artículo 13.3 diferencia tiempo efectivo, incluyendo vacaciones y ciertos periodos formativos, de ausencias y situaciones excluidas. También se retira la cotización proporcional; debe coordinarse con la justificación por módulos.</w:t>
      </w:r>
    </w:p>
    <w:p>
      <w:pPr>
        <w:keepNext/>
      </w:pPr>
      <w:r>
        <w:rPr>
          <w:b/>
        </w:rPr>
        <w:t xml:space="preserve">Pasos o acción práctica: </w:t>
      </w:r>
      <w:r>
        <w:t>Controlar incidencias y consultar instrucciones AEI sobre su traducción a módulos.</w:t>
      </w:r>
    </w:p>
    <w:p>
      <w:pPr>
        <w:keepNext/>
      </w:pPr>
      <w:r>
        <w:rPr>
          <w:b/>
        </w:rPr>
        <w:t xml:space="preserve">Errores comunes: </w:t>
      </w:r>
      <w:r>
        <w:t>Equiparar toda nómina abonada a tiempo subvencionable.</w:t>
      </w:r>
    </w:p>
    <w:p>
      <w:r>
        <w:rPr>
          <w:b/>
        </w:rPr>
        <w:t xml:space="preserve">Referencia normativa: </w:t>
      </w:r>
      <w:r>
        <w:t>D1. Arts. 13.3, 26.2 y 28.3.</w:t>
      </w:r>
    </w:p>
    <w:p>
      <w:pPr>
        <w:pStyle w:val="Heading3"/>
        <w:keepNext/>
      </w:pPr>
      <w:r>
        <w:t>133. ¿Puede sustituirse al predoctoral si abandona?</w:t>
      </w:r>
    </w:p>
    <w:p>
      <w:pPr>
        <w:keepNext/>
      </w:pPr>
      <w:r>
        <w:rPr>
          <w:b/>
        </w:rPr>
        <w:t xml:space="preserve">Dificultad: </w:t>
      </w:r>
      <w:r>
        <w:t>Media</w:t>
      </w:r>
    </w:p>
    <w:p>
      <w:pPr>
        <w:keepNext/>
      </w:pPr>
      <w:r>
        <w:rPr>
          <w:b/>
        </w:rPr>
        <w:t xml:space="preserve">Respuesta: </w:t>
      </w:r>
      <w:r>
        <w:t>Solo si la extinción o desistimiento ocurre durante los dos primeros años, con un máximo de dos personas por ayuda y un intervalo hasta nueva incorporación no superior a tres meses. La duración global no se reinicia.</w:t>
      </w:r>
    </w:p>
    <w:p>
      <w:pPr>
        <w:keepNext/>
      </w:pPr>
      <w:r>
        <w:rPr>
          <w:b/>
        </w:rPr>
        <w:t xml:space="preserve">Pasos o acción práctica: </w:t>
      </w:r>
      <w:r>
        <w:t>Activar selección y comprobar plazos antes de contratar.</w:t>
      </w:r>
    </w:p>
    <w:p>
      <w:pPr>
        <w:keepNext/>
      </w:pPr>
      <w:r>
        <w:rPr>
          <w:b/>
        </w:rPr>
        <w:t xml:space="preserve">Errores comunes: </w:t>
      </w:r>
      <w:r>
        <w:t>Reiniciar cuatro años con la sustitución.</w:t>
      </w:r>
    </w:p>
    <w:p>
      <w:r>
        <w:rPr>
          <w:b/>
        </w:rPr>
        <w:t xml:space="preserve">Referencia normativa: </w:t>
      </w:r>
      <w:r>
        <w:t>D1. Art. 12.1.</w:t>
      </w:r>
    </w:p>
    <w:p>
      <w:pPr>
        <w:pStyle w:val="Heading3"/>
        <w:keepNext/>
      </w:pPr>
      <w:r>
        <w:t>134. ¿Cuál es la duración mínima de las estancias predoctorales?</w:t>
      </w:r>
    </w:p>
    <w:p>
      <w:pPr>
        <w:keepNext/>
      </w:pPr>
      <w:r>
        <w:rPr>
          <w:b/>
        </w:rPr>
        <w:t xml:space="preserve">Dificultad: </w:t>
      </w:r>
      <w:r>
        <w:t>Media</w:t>
      </w:r>
    </w:p>
    <w:p>
      <w:pPr>
        <w:keepNext/>
      </w:pPr>
      <w:r>
        <w:rPr>
          <w:b/>
        </w:rPr>
        <w:t xml:space="preserve">Respuesta: </w:t>
      </w:r>
      <w:r>
        <w:t>Un mes continuado, íntegramente dentro del periodo de ayuda. El centro debe estar en una localidad distinta y la estancia debe aportar formación y movilidad o internacionalización real.</w:t>
      </w:r>
    </w:p>
    <w:p>
      <w:pPr>
        <w:keepNext/>
      </w:pPr>
      <w:r>
        <w:rPr>
          <w:b/>
        </w:rPr>
        <w:t xml:space="preserve">Pasos o acción práctica: </w:t>
      </w:r>
      <w:r>
        <w:t>Autorizar plan y conservar certificado del centro receptor.</w:t>
      </w:r>
    </w:p>
    <w:p>
      <w:pPr>
        <w:keepNext/>
      </w:pPr>
      <w:r>
        <w:rPr>
          <w:b/>
        </w:rPr>
        <w:t xml:space="preserve">Errores comunes: </w:t>
      </w:r>
      <w:r>
        <w:t>Dividir el mes en viajes cortos o justificarlo solo por nacionalidad.</w:t>
      </w:r>
    </w:p>
    <w:p>
      <w:r>
        <w:rPr>
          <w:b/>
        </w:rPr>
        <w:t xml:space="preserve">Referencia normativa: </w:t>
      </w:r>
      <w:r>
        <w:t>D1. Art. 12.5.a).</w:t>
      </w:r>
    </w:p>
    <w:p>
      <w:pPr>
        <w:pStyle w:val="Heading3"/>
        <w:keepNext/>
      </w:pPr>
      <w:r>
        <w:t>135. ¿Qué matrícula doctoral puede financiarse?</w:t>
      </w:r>
    </w:p>
    <w:p>
      <w:pPr>
        <w:keepNext/>
      </w:pPr>
      <w:r>
        <w:rPr>
          <w:b/>
        </w:rPr>
        <w:t xml:space="preserve">Dificultad: </w:t>
      </w:r>
      <w:r>
        <w:t>Media</w:t>
      </w:r>
    </w:p>
    <w:p>
      <w:pPr>
        <w:keepNext/>
      </w:pPr>
      <w:r>
        <w:rPr>
          <w:b/>
        </w:rPr>
        <w:t xml:space="preserve">Respuesta: </w:t>
      </w:r>
      <w:r>
        <w:t>Tutela y créditos formativos en universidad española durante la etapa predoctoral y según concurrencia temporal con la ayuda. El curso 2026/2027 tiene una excepción expresa de elegibilidad.</w:t>
      </w:r>
    </w:p>
    <w:p>
      <w:pPr>
        <w:keepNext/>
      </w:pPr>
      <w:r>
        <w:rPr>
          <w:b/>
        </w:rPr>
        <w:t xml:space="preserve">Pasos o acción práctica: </w:t>
      </w:r>
      <w:r>
        <w:t>Comprobar curso, periodo y conceptos de matrícula.</w:t>
      </w:r>
    </w:p>
    <w:p>
      <w:pPr>
        <w:keepNext/>
      </w:pPr>
      <w:r>
        <w:rPr>
          <w:b/>
        </w:rPr>
        <w:t xml:space="preserve">Errores comunes: </w:t>
      </w:r>
      <w:r>
        <w:t>Financiar matrícula en POP como si siguiera la etapa predoctoral.</w:t>
      </w:r>
    </w:p>
    <w:p>
      <w:r>
        <w:rPr>
          <w:b/>
        </w:rPr>
        <w:t xml:space="preserve">Referencia normativa: </w:t>
      </w:r>
      <w:r>
        <w:t>D1. Art. 12.5.b).</w:t>
      </w:r>
    </w:p>
    <w:p>
      <w:pPr>
        <w:pStyle w:val="Heading3"/>
        <w:keepNext/>
      </w:pPr>
      <w:r>
        <w:t>136. ¿Qué límites tienen los importes de matrícula?</w:t>
      </w:r>
    </w:p>
    <w:p>
      <w:pPr>
        <w:keepNext/>
      </w:pPr>
      <w:r>
        <w:rPr>
          <w:b/>
        </w:rPr>
        <w:t xml:space="preserve">Dificultad: </w:t>
      </w:r>
      <w:r>
        <w:t>Media</w:t>
      </w:r>
    </w:p>
    <w:p>
      <w:pPr>
        <w:keepNext/>
      </w:pPr>
      <w:r>
        <w:rPr>
          <w:b/>
        </w:rPr>
        <w:t xml:space="preserve">Respuesta: </w:t>
      </w:r>
      <w:r>
        <w:t>Como máximo los precios públicos de enseñanzas oficiales fijados para universidades públicas en la comunidad autónoma correspondiente. Debe distinguirse matrícula admisible y otros cargos no previstos.</w:t>
      </w:r>
    </w:p>
    <w:p>
      <w:pPr>
        <w:keepNext/>
      </w:pPr>
      <w:r>
        <w:rPr>
          <w:b/>
        </w:rPr>
        <w:t xml:space="preserve">Pasos o acción práctica: </w:t>
      </w:r>
      <w:r>
        <w:t>Contrastar recibo con tarifas oficiales aplicables.</w:t>
      </w:r>
    </w:p>
    <w:p>
      <w:pPr>
        <w:keepNext/>
      </w:pPr>
      <w:r>
        <w:rPr>
          <w:b/>
        </w:rPr>
        <w:t xml:space="preserve">Errores comunes: </w:t>
      </w:r>
      <w:r>
        <w:t>Imputar automáticamente todos los conceptos del recibo.</w:t>
      </w:r>
    </w:p>
    <w:p>
      <w:r>
        <w:rPr>
          <w:b/>
        </w:rPr>
        <w:t xml:space="preserve">Referencia normativa: </w:t>
      </w:r>
      <w:r>
        <w:t>D1. Art. 13.6.</w:t>
      </w:r>
    </w:p>
    <w:p>
      <w:pPr>
        <w:pStyle w:val="Heading3"/>
        <w:keepNext/>
      </w:pPr>
      <w:r>
        <w:t>137. ¿Puede el predoctoral cobrar complementos de otros proyectos o contratos?</w:t>
      </w:r>
    </w:p>
    <w:p>
      <w:pPr>
        <w:keepNext/>
      </w:pPr>
      <w:r>
        <w:rPr>
          <w:b/>
        </w:rPr>
        <w:t xml:space="preserve">Dificultad: </w:t>
      </w:r>
      <w:r>
        <w:t>Compleja</w:t>
      </w:r>
    </w:p>
    <w:p>
      <w:pPr>
        <w:keepNext/>
      </w:pPr>
      <w:r>
        <w:rPr>
          <w:b/>
        </w:rPr>
        <w:t xml:space="preserve">Respuesta: </w:t>
      </w:r>
      <w:r>
        <w:t>Se contemplan determinados complementos no salariales y ayudas de movilidad o congresos, sin nuevo contrato ni perjuicio de la finalidad formativa. No constituye autorización general para cualquier retribución del artículo 60.</w:t>
      </w:r>
    </w:p>
    <w:p>
      <w:pPr>
        <w:keepNext/>
      </w:pPr>
      <w:r>
        <w:rPr>
          <w:b/>
        </w:rPr>
        <w:t xml:space="preserve">Pasos o acción práctica: </w:t>
      </w:r>
      <w:r>
        <w:t>Revisar naturaleza del complemento, actividad, horario y normativa de compatibilidad.</w:t>
      </w:r>
    </w:p>
    <w:p>
      <w:pPr>
        <w:keepNext/>
      </w:pPr>
      <w:r>
        <w:rPr>
          <w:b/>
        </w:rPr>
        <w:t xml:space="preserve">Errores comunes: </w:t>
      </w:r>
      <w:r>
        <w:t>Dar por admisible un pago salarial por llamarlo complemento.</w:t>
      </w:r>
    </w:p>
    <w:p>
      <w:r>
        <w:rPr>
          <w:b/>
        </w:rPr>
        <w:t xml:space="preserve">Referencia normativa: </w:t>
      </w:r>
      <w:r>
        <w:t>D1. Art. 16.2.</w:t>
      </w:r>
    </w:p>
    <w:p>
      <w:pPr>
        <w:pStyle w:val="Heading3"/>
        <w:keepNext/>
      </w:pPr>
      <w:r>
        <w:t>138. ¿Cuánta docencia puede realizar el predoctoral?</w:t>
      </w:r>
    </w:p>
    <w:p>
      <w:pPr>
        <w:keepNext/>
      </w:pPr>
      <w:r>
        <w:rPr>
          <w:b/>
        </w:rPr>
        <w:t xml:space="preserve">Dificultad: </w:t>
      </w:r>
      <w:r>
        <w:t>Media</w:t>
      </w:r>
    </w:p>
    <w:p>
      <w:pPr>
        <w:keepNext/>
      </w:pPr>
      <w:r>
        <w:rPr>
          <w:b/>
        </w:rPr>
        <w:t xml:space="preserve">Respuesta: </w:t>
      </w:r>
      <w:r>
        <w:t>Con autorización universitaria, hasta 180 horas en total y sin superar 60 anuales. No puede perjudicar la finalidad investigadora ni reducir la carga docente del departamento.</w:t>
      </w:r>
    </w:p>
    <w:p>
      <w:pPr>
        <w:keepNext/>
      </w:pPr>
      <w:r>
        <w:rPr>
          <w:b/>
        </w:rPr>
        <w:t xml:space="preserve">Pasos o acción práctica: </w:t>
      </w:r>
      <w:r>
        <w:t>Autorizar y llevar registro anual y acumulado.</w:t>
      </w:r>
    </w:p>
    <w:p>
      <w:pPr>
        <w:keepNext/>
      </w:pPr>
      <w:r>
        <w:rPr>
          <w:b/>
        </w:rPr>
        <w:t xml:space="preserve">Errores comunes: </w:t>
      </w:r>
      <w:r>
        <w:t>Aplicar 60 horas a cada curso sin vigilar el total.</w:t>
      </w:r>
    </w:p>
    <w:p>
      <w:r>
        <w:rPr>
          <w:b/>
        </w:rPr>
        <w:t xml:space="preserve">Referencia normativa: </w:t>
      </w:r>
      <w:r>
        <w:t>D1. Art. 16.3.</w:t>
      </w:r>
    </w:p>
    <w:p>
      <w:pPr>
        <w:pStyle w:val="Heading3"/>
        <w:keepNext/>
      </w:pPr>
      <w:r>
        <w:t>139. ¿Qué se comunica al incorporar al predoctoral?</w:t>
      </w:r>
    </w:p>
    <w:p>
      <w:pPr>
        <w:keepNext/>
      </w:pPr>
      <w:r>
        <w:rPr>
          <w:b/>
        </w:rPr>
        <w:t xml:space="preserve">Dificultad: </w:t>
      </w:r>
      <w:r>
        <w:t>Media</w:t>
      </w:r>
    </w:p>
    <w:p>
      <w:pPr>
        <w:keepNext/>
      </w:pPr>
      <w:r>
        <w:rPr>
          <w:b/>
        </w:rPr>
        <w:t xml:space="preserve">Respuesta: </w:t>
      </w:r>
      <w:r>
        <w:t>En veinte días hábiles: identidad, incorporación y enlace EURAXESS, junto a programa formativo, CVA e informe de selección mediante la aplicación prevista. Lo mismo se exige para sustituciones admisibles.</w:t>
      </w:r>
    </w:p>
    <w:p>
      <w:pPr>
        <w:keepNext/>
      </w:pPr>
      <w:r>
        <w:rPr>
          <w:b/>
        </w:rPr>
        <w:t xml:space="preserve">Pasos o acción práctica: </w:t>
      </w:r>
      <w:r>
        <w:t>Preparar expediente y enviar dentro del plazo con formalización exigida.</w:t>
      </w:r>
    </w:p>
    <w:p>
      <w:pPr>
        <w:keepNext/>
      </w:pPr>
      <w:r>
        <w:rPr>
          <w:b/>
        </w:rPr>
        <w:t xml:space="preserve">Errores comunes: </w:t>
      </w:r>
      <w:r>
        <w:t>Comunicar solo el contrato firmado.</w:t>
      </w:r>
    </w:p>
    <w:p>
      <w:r>
        <w:rPr>
          <w:b/>
        </w:rPr>
        <w:t xml:space="preserve">Referencia normativa: </w:t>
      </w:r>
      <w:r>
        <w:t>D1. Art. 23.4.a)-b).</w:t>
      </w:r>
    </w:p>
    <w:p>
      <w:pPr>
        <w:pStyle w:val="Heading3"/>
        <w:keepNext/>
      </w:pPr>
      <w:r>
        <w:t>140. ¿Cuándo se comunica la defensa de la tesis?</w:t>
      </w:r>
    </w:p>
    <w:p>
      <w:pPr>
        <w:keepNext/>
      </w:pPr>
      <w:r>
        <w:rPr>
          <w:b/>
        </w:rPr>
        <w:t xml:space="preserve">Dificultad: </w:t>
      </w:r>
      <w:r>
        <w:t>Media</w:t>
      </w:r>
    </w:p>
    <w:p>
      <w:pPr>
        <w:keepNext/>
      </w:pPr>
      <w:r>
        <w:rPr>
          <w:b/>
        </w:rPr>
        <w:t xml:space="preserve">Respuesta: </w:t>
      </w:r>
      <w:r>
        <w:t>En veinte días hábiles desde defensa y aprobación, si sucede durante la ayuda o en el año siguiente a su finalización. Debe controlarse también el periodo posterior al contrato.</w:t>
      </w:r>
    </w:p>
    <w:p>
      <w:pPr>
        <w:keepNext/>
      </w:pPr>
      <w:r>
        <w:rPr>
          <w:b/>
        </w:rPr>
        <w:t xml:space="preserve">Pasos o acción práctica: </w:t>
      </w:r>
      <w:r>
        <w:t>Programar seguimiento académico y aviso al gestor.</w:t>
      </w:r>
    </w:p>
    <w:p>
      <w:pPr>
        <w:keepNext/>
      </w:pPr>
      <w:r>
        <w:rPr>
          <w:b/>
        </w:rPr>
        <w:t xml:space="preserve">Errores comunes: </w:t>
      </w:r>
      <w:r>
        <w:t>Cerrar el expediente y dejar de seguir una tesis aún pendiente.</w:t>
      </w:r>
    </w:p>
    <w:p>
      <w:r>
        <w:rPr>
          <w:b/>
        </w:rPr>
        <w:t xml:space="preserve">Referencia normativa: </w:t>
      </w:r>
      <w:r>
        <w:t>D1. Art. 23.4.e).</w:t>
      </w:r>
    </w:p>
    <w:p>
      <w:pPr>
        <w:pStyle w:val="Heading3"/>
        <w:keepNext/>
      </w:pPr>
      <w:r>
        <w:t>141. ¿Cuándo se comunican renuncias e incidencias predoctorales?</w:t>
      </w:r>
    </w:p>
    <w:p>
      <w:pPr>
        <w:keepNext/>
      </w:pPr>
      <w:r>
        <w:rPr>
          <w:b/>
        </w:rPr>
        <w:t xml:space="preserve">Dificultad: </w:t>
      </w:r>
      <w:r>
        <w:t>Media</w:t>
      </w:r>
    </w:p>
    <w:p>
      <w:pPr>
        <w:keepNext/>
      </w:pPr>
      <w:r>
        <w:rPr>
          <w:b/>
        </w:rPr>
        <w:t xml:space="preserve">Respuesta: </w:t>
      </w:r>
      <w:r>
        <w:t>En un máximo de dos meses desde el hecho y siempre durante la ejecución. Se exceptúan ciertas interrupciones inferiores a dos meses sin solicitud de prórroga.</w:t>
      </w:r>
    </w:p>
    <w:p>
      <w:pPr>
        <w:keepNext/>
      </w:pPr>
      <w:r>
        <w:rPr>
          <w:b/>
        </w:rPr>
        <w:t xml:space="preserve">Pasos o acción práctica: </w:t>
      </w:r>
      <w:r>
        <w:t>Registrar fecha del hecho y tipo de incidencia.</w:t>
      </w:r>
    </w:p>
    <w:p>
      <w:pPr>
        <w:keepNext/>
      </w:pPr>
      <w:r>
        <w:rPr>
          <w:b/>
        </w:rPr>
        <w:t xml:space="preserve">Errores comunes: </w:t>
      </w:r>
      <w:r>
        <w:t>Comunicar la renuncia solo en la justificación anual.</w:t>
      </w:r>
    </w:p>
    <w:p>
      <w:r>
        <w:rPr>
          <w:b/>
        </w:rPr>
        <w:t xml:space="preserve">Referencia normativa: </w:t>
      </w:r>
      <w:r>
        <w:t>D1. Art. 23.4.g).</w:t>
      </w:r>
    </w:p>
    <w:p>
      <w:pPr>
        <w:pStyle w:val="Heading3"/>
        <w:keepNext/>
      </w:pPr>
      <w:r>
        <w:t>142. ¿Toda incapacidad temporal amplía la ayuda?</w:t>
      </w:r>
    </w:p>
    <w:p>
      <w:pPr>
        <w:keepNext/>
      </w:pPr>
      <w:r>
        <w:rPr>
          <w:b/>
        </w:rPr>
        <w:t xml:space="preserve">Dificultad: </w:t>
      </w:r>
      <w:r>
        <w:t>Compleja</w:t>
      </w:r>
    </w:p>
    <w:p>
      <w:pPr>
        <w:keepNext/>
      </w:pPr>
      <w:r>
        <w:rPr>
          <w:b/>
        </w:rPr>
        <w:t xml:space="preserve">Respuesta: </w:t>
      </w:r>
      <w:r>
        <w:t>No. En embarazo por causas vinculadas puede solicitarse por su duración; en otras IT se exige al menos dos meses consecutivos. La petición de interrupción y prórroga debe presentarse en dos meses desde el hecho, durante la ayuda.</w:t>
      </w:r>
    </w:p>
    <w:p>
      <w:pPr>
        <w:keepNext/>
      </w:pPr>
      <w:r>
        <w:rPr>
          <w:b/>
        </w:rPr>
        <w:t xml:space="preserve">Pasos o acción práctica: </w:t>
      </w:r>
      <w:r>
        <w:t>Coordinar personal y proyectos para solicitar autorización.</w:t>
      </w:r>
    </w:p>
    <w:p>
      <w:pPr>
        <w:keepNext/>
      </w:pPr>
      <w:r>
        <w:rPr>
          <w:b/>
        </w:rPr>
        <w:t xml:space="preserve">Errores comunes: </w:t>
      </w:r>
      <w:r>
        <w:t>Confundir interrupción laboral automática con prórroga financiera autorizada.</w:t>
      </w:r>
    </w:p>
    <w:p>
      <w:r>
        <w:rPr>
          <w:b/>
        </w:rPr>
        <w:t xml:space="preserve">Referencia normativa: </w:t>
      </w:r>
      <w:r>
        <w:t>D1. Art. 25.7.</w:t>
      </w:r>
    </w:p>
    <w:p>
      <w:pPr>
        <w:pStyle w:val="Heading3"/>
        <w:keepNext/>
      </w:pPr>
      <w:r>
        <w:t>143. ¿Se financian costes durante una interrupción autorizada?</w:t>
      </w:r>
    </w:p>
    <w:p>
      <w:pPr>
        <w:keepNext/>
      </w:pPr>
      <w:r>
        <w:rPr>
          <w:b/>
        </w:rPr>
        <w:t xml:space="preserve">Dificultad: </w:t>
      </w:r>
      <w:r>
        <w:t>Compleja</w:t>
      </w:r>
    </w:p>
    <w:p>
      <w:pPr>
        <w:keepNext/>
      </w:pPr>
      <w:r>
        <w:rPr>
          <w:b/>
        </w:rPr>
        <w:t xml:space="preserve">Respuesta: </w:t>
      </w:r>
      <w:r>
        <w:t>No se subvencionan salario ni cuota patronal durante la interrupción. La prórroga no aumenta la cuantía y el exceso de cotización derivado del periodo prorrogado corresponde a la entidad.</w:t>
      </w:r>
    </w:p>
    <w:p>
      <w:pPr>
        <w:keepNext/>
      </w:pPr>
      <w:r>
        <w:rPr>
          <w:b/>
        </w:rPr>
        <w:t xml:space="preserve">Pasos o acción práctica: </w:t>
      </w:r>
      <w:r>
        <w:t>Separar periodos y revisar remanente y financiación propia.</w:t>
      </w:r>
    </w:p>
    <w:p>
      <w:pPr>
        <w:keepNext/>
      </w:pPr>
      <w:r>
        <w:rPr>
          <w:b/>
        </w:rPr>
        <w:t xml:space="preserve">Errores comunes: </w:t>
      </w:r>
      <w:r>
        <w:t>Dar por aumentado el presupuesto al ampliar fechas.</w:t>
      </w:r>
    </w:p>
    <w:p>
      <w:r>
        <w:rPr>
          <w:b/>
        </w:rPr>
        <w:t xml:space="preserve">Referencia normativa: </w:t>
      </w:r>
      <w:r>
        <w:t>D1. Art. 25.7.</w:t>
      </w:r>
    </w:p>
    <w:p>
      <w:pPr>
        <w:pStyle w:val="Heading3"/>
        <w:keepNext/>
      </w:pPr>
      <w:r>
        <w:t>144. ¿Qué ocurre si termina el proyecto asociado antes de la ayuda predoctoral?</w:t>
      </w:r>
    </w:p>
    <w:p>
      <w:pPr>
        <w:keepNext/>
      </w:pPr>
      <w:r>
        <w:rPr>
          <w:b/>
        </w:rPr>
        <w:t xml:space="preserve">Dificultad: </w:t>
      </w:r>
      <w:r>
        <w:t>Compleja</w:t>
      </w:r>
    </w:p>
    <w:p>
      <w:pPr>
        <w:keepNext/>
      </w:pPr>
      <w:r>
        <w:rPr>
          <w:b/>
        </w:rPr>
        <w:t xml:space="preserve">Respuesta: </w:t>
      </w:r>
      <w:r>
        <w:t>No se requiere autorización de cambio si la persona queda adscrita a un proyecto o línea coordinada por el responsable del proyecto que termina; debe informarse en seguimiento. Otros cambios siguen su procedimiento específico.</w:t>
      </w:r>
    </w:p>
    <w:p>
      <w:pPr>
        <w:keepNext/>
      </w:pPr>
      <w:r>
        <w:rPr>
          <w:b/>
        </w:rPr>
        <w:t xml:space="preserve">Pasos o acción práctica: </w:t>
      </w:r>
      <w:r>
        <w:t>Documentar nueva adscripción y mantener coherencia formativa.</w:t>
      </w:r>
    </w:p>
    <w:p>
      <w:pPr>
        <w:keepNext/>
      </w:pPr>
      <w:r>
        <w:rPr>
          <w:b/>
        </w:rPr>
        <w:t xml:space="preserve">Errores comunes: </w:t>
      </w:r>
      <w:r>
        <w:t>Asumir que toda ayuda predoctoral termina con el proyecto.</w:t>
      </w:r>
    </w:p>
    <w:p>
      <w:r>
        <w:rPr>
          <w:b/>
        </w:rPr>
        <w:t xml:space="preserve">Referencia normativa: </w:t>
      </w:r>
      <w:r>
        <w:t>D1. Art. 25.8, último párrafo.</w:t>
      </w:r>
    </w:p>
    <w:p>
      <w:pPr>
        <w:pStyle w:val="Heading2"/>
      </w:pPr>
      <w:r>
        <w:t>Justificación técnica y económica</w:t>
      </w:r>
    </w:p>
    <w:p>
      <w:pPr>
        <w:pStyle w:val="Heading3"/>
        <w:keepNext/>
      </w:pPr>
      <w:r>
        <w:t>145. ¿Qué aplicaciones se usan durante la gestión?</w:t>
      </w:r>
    </w:p>
    <w:p>
      <w:pPr>
        <w:keepNext/>
      </w:pPr>
      <w:r>
        <w:rPr>
          <w:b/>
        </w:rPr>
        <w:t xml:space="preserve">Dificultad: </w:t>
      </w:r>
      <w:r>
        <w:t>Media</w:t>
      </w:r>
    </w:p>
    <w:p>
      <w:pPr>
        <w:keepNext/>
      </w:pPr>
      <w:r>
        <w:rPr>
          <w:b/>
        </w:rPr>
        <w:t xml:space="preserve">Respuesta: </w:t>
      </w:r>
      <w:r>
        <w:t>Facilit@ canaliza las comunicaciones y trámites previstos; Justifica se utiliza para la cuenta justificativa y los informes correspondientes. La solicitud inicial tiene sus aplicaciones específicas.</w:t>
      </w:r>
    </w:p>
    <w:p>
      <w:pPr>
        <w:keepNext/>
      </w:pPr>
      <w:r>
        <w:rPr>
          <w:b/>
        </w:rPr>
        <w:t xml:space="preserve">Pasos o acción práctica: </w:t>
      </w:r>
      <w:r>
        <w:t>Elegir el trámite correcto desde la página oficial.</w:t>
      </w:r>
    </w:p>
    <w:p>
      <w:pPr>
        <w:keepNext/>
      </w:pPr>
      <w:r>
        <w:rPr>
          <w:b/>
        </w:rPr>
        <w:t xml:space="preserve">Errores comunes: </w:t>
      </w:r>
      <w:r>
        <w:t>Llamar Facilit@ a todas las aplicaciones y enviar por la vía equivocada.</w:t>
      </w:r>
    </w:p>
    <w:p>
      <w:r>
        <w:rPr>
          <w:b/>
        </w:rPr>
        <w:t xml:space="preserve">Referencia normativa: </w:t>
      </w:r>
      <w:r>
        <w:t>D1. Arts. 6.6, 17.5 y 26.1.</w:t>
      </w:r>
    </w:p>
    <w:p>
      <w:pPr>
        <w:pStyle w:val="Heading3"/>
        <w:keepNext/>
      </w:pPr>
      <w:r>
        <w:t>146. ¿Cómo se justifica económicamente el proyecto?</w:t>
      </w:r>
    </w:p>
    <w:p>
      <w:pPr>
        <w:keepNext/>
      </w:pPr>
      <w:r>
        <w:rPr>
          <w:b/>
        </w:rPr>
        <w:t xml:space="preserve">Dificultad: </w:t>
      </w:r>
      <w:r>
        <w:t>Media</w:t>
      </w:r>
    </w:p>
    <w:p>
      <w:pPr>
        <w:keepNext/>
      </w:pPr>
      <w:r>
        <w:rPr>
          <w:b/>
        </w:rPr>
        <w:t xml:space="preserve">Respuesta: </w:t>
      </w:r>
      <w:r>
        <w:t>Mediante cuenta justificativa simplificada, con memoria y relación de gastos según los modelos e instrucciones aplicables. La simplificación no exime de conservar facturas y pagos ni de la comprobación.</w:t>
      </w:r>
    </w:p>
    <w:p>
      <w:pPr>
        <w:keepNext/>
      </w:pPr>
      <w:r>
        <w:rPr>
          <w:b/>
        </w:rPr>
        <w:t xml:space="preserve">Pasos o acción práctica: </w:t>
      </w:r>
      <w:r>
        <w:t>Mantener expediente completo y conciliación contable.</w:t>
      </w:r>
    </w:p>
    <w:p>
      <w:pPr>
        <w:keepNext/>
      </w:pPr>
      <w:r>
        <w:rPr>
          <w:b/>
        </w:rPr>
        <w:t xml:space="preserve">Errores comunes: </w:t>
      </w:r>
      <w:r>
        <w:t>Entender que simplificada significa sin evidencias.</w:t>
      </w:r>
    </w:p>
    <w:p>
      <w:r>
        <w:rPr>
          <w:b/>
        </w:rPr>
        <w:t xml:space="preserve">Referencia normativa: </w:t>
      </w:r>
      <w:r>
        <w:t>D1. Arts. 26.2 y 27.4-5.</w:t>
      </w:r>
    </w:p>
    <w:p>
      <w:pPr>
        <w:pStyle w:val="Heading3"/>
        <w:keepNext/>
      </w:pPr>
      <w:r>
        <w:t>147. ¿Cuándo se entrega la memoria económica del proyecto?</w:t>
      </w:r>
    </w:p>
    <w:p>
      <w:pPr>
        <w:keepNext/>
      </w:pPr>
      <w:r>
        <w:rPr>
          <w:b/>
        </w:rPr>
        <w:t xml:space="preserve">Dificultad: </w:t>
      </w:r>
      <w:r>
        <w:t>Media</w:t>
      </w:r>
    </w:p>
    <w:p>
      <w:pPr>
        <w:keepNext/>
      </w:pPr>
      <w:r>
        <w:rPr>
          <w:b/>
        </w:rPr>
        <w:t xml:space="preserve">Respuesta: </w:t>
      </w:r>
      <w:r>
        <w:t>Con carácter general, del 1 de enero al 31 de marzo del año siguiente a su finalización. Puede exigirse otro plazo cuando el final no coincida con el año natural.</w:t>
      </w:r>
    </w:p>
    <w:p>
      <w:pPr>
        <w:keepNext/>
      </w:pPr>
      <w:r>
        <w:rPr>
          <w:b/>
        </w:rPr>
        <w:t xml:space="preserve">Pasos o acción práctica: </w:t>
      </w:r>
      <w:r>
        <w:t>Atender concesión y calendario AEI concreto.</w:t>
      </w:r>
    </w:p>
    <w:p>
      <w:pPr>
        <w:keepNext/>
      </w:pPr>
      <w:r>
        <w:rPr>
          <w:b/>
        </w:rPr>
        <w:t xml:space="preserve">Errores comunes: </w:t>
      </w:r>
      <w:r>
        <w:t>Imponer una justificación anual genérica que no fija este artículo.</w:t>
      </w:r>
    </w:p>
    <w:p>
      <w:r>
        <w:rPr>
          <w:b/>
        </w:rPr>
        <w:t xml:space="preserve">Referencia normativa: </w:t>
      </w:r>
      <w:r>
        <w:t>D1. Art. 27.2.</w:t>
      </w:r>
    </w:p>
    <w:p>
      <w:pPr>
        <w:pStyle w:val="Heading3"/>
        <w:keepNext/>
      </w:pPr>
      <w:r>
        <w:t>148. ¿Se pueden pagar gastos después de terminar el proyecto?</w:t>
      </w:r>
    </w:p>
    <w:p>
      <w:pPr>
        <w:keepNext/>
      </w:pPr>
      <w:r>
        <w:rPr>
          <w:b/>
        </w:rPr>
        <w:t xml:space="preserve">Dificultad: </w:t>
      </w:r>
      <w:r>
        <w:t>Media</w:t>
      </w:r>
    </w:p>
    <w:p>
      <w:pPr>
        <w:keepNext/>
      </w:pPr>
      <w:r>
        <w:rPr>
          <w:b/>
        </w:rPr>
        <w:t xml:space="preserve">Respuesta: </w:t>
      </w:r>
      <w:r>
        <w:t>El pago puede hacerse efectivo hasta tres meses después del final. Esto no amplía el periodo de realización del gasto o de ejecución de actividades.</w:t>
      </w:r>
    </w:p>
    <w:p>
      <w:pPr>
        <w:keepNext/>
      </w:pPr>
      <w:r>
        <w:rPr>
          <w:b/>
        </w:rPr>
        <w:t xml:space="preserve">Pasos o acción práctica: </w:t>
      </w:r>
      <w:r>
        <w:t>Distinguir fecha de gasto, prestación y pago.</w:t>
      </w:r>
    </w:p>
    <w:p>
      <w:pPr>
        <w:keepNext/>
      </w:pPr>
      <w:r>
        <w:rPr>
          <w:b/>
        </w:rPr>
        <w:t xml:space="preserve">Errores comunes: </w:t>
      </w:r>
      <w:r>
        <w:t>Comprar material nuevo después del fin aprovechando la ventana de pago.</w:t>
      </w:r>
    </w:p>
    <w:p>
      <w:r>
        <w:rPr>
          <w:b/>
        </w:rPr>
        <w:t xml:space="preserve">Referencia normativa: </w:t>
      </w:r>
      <w:r>
        <w:t>D1. Art. 27.3.</w:t>
      </w:r>
    </w:p>
    <w:p>
      <w:pPr>
        <w:pStyle w:val="Heading3"/>
        <w:keepNext/>
      </w:pPr>
      <w:r>
        <w:t>149. ¿Los gastos deben coincidir con las anualidades de pago?</w:t>
      </w:r>
    </w:p>
    <w:p>
      <w:pPr>
        <w:keepNext/>
      </w:pPr>
      <w:r>
        <w:rPr>
          <w:b/>
        </w:rPr>
        <w:t xml:space="preserve">Dificultad: </w:t>
      </w:r>
      <w:r>
        <w:t>Media</w:t>
      </w:r>
    </w:p>
    <w:p>
      <w:pPr>
        <w:keepNext/>
      </w:pPr>
      <w:r>
        <w:rPr>
          <w:b/>
        </w:rPr>
        <w:t xml:space="preserve">Respuesta: </w:t>
      </w:r>
      <w:r>
        <w:t>No necesariamente: pueden ejecutarse a lo largo del periodo del proyecto, aunque no coincidan con el plan de pagos. Debe respetarse el importe y el resto de condiciones.</w:t>
      </w:r>
    </w:p>
    <w:p>
      <w:pPr>
        <w:keepNext/>
      </w:pPr>
      <w:r>
        <w:rPr>
          <w:b/>
        </w:rPr>
        <w:t xml:space="preserve">Pasos o acción práctica: </w:t>
      </w:r>
      <w:r>
        <w:t>Controlar ejecución global y tesorería por separado.</w:t>
      </w:r>
    </w:p>
    <w:p>
      <w:pPr>
        <w:keepNext/>
      </w:pPr>
      <w:r>
        <w:rPr>
          <w:b/>
        </w:rPr>
        <w:t xml:space="preserve">Errores comunes: </w:t>
      </w:r>
      <w:r>
        <w:t>Limitar cada gasto a la anualidad en que llegó el anticipo.</w:t>
      </w:r>
    </w:p>
    <w:p>
      <w:r>
        <w:rPr>
          <w:b/>
        </w:rPr>
        <w:t xml:space="preserve">Referencia normativa: </w:t>
      </w:r>
      <w:r>
        <w:t>D1. Art. 27.3.</w:t>
      </w:r>
    </w:p>
    <w:p>
      <w:pPr>
        <w:pStyle w:val="Heading3"/>
        <w:keepNext/>
      </w:pPr>
      <w:r>
        <w:t>150. ¿Cuándo se presentan los informes científicos del proyecto?</w:t>
      </w:r>
    </w:p>
    <w:p>
      <w:pPr>
        <w:keepNext/>
      </w:pPr>
      <w:r>
        <w:rPr>
          <w:b/>
        </w:rPr>
        <w:t xml:space="preserve">Dificultad: </w:t>
      </w:r>
      <w:r>
        <w:t>Media</w:t>
      </w:r>
    </w:p>
    <w:p>
      <w:pPr>
        <w:keepNext/>
      </w:pPr>
      <w:r>
        <w:rPr>
          <w:b/>
        </w:rPr>
        <w:t xml:space="preserve">Respuesta: </w:t>
      </w:r>
      <w:r>
        <w:t>En proyectos de tres o cuatro años, intermedio dentro de los tres meses tras la mitad del periodo y final dentro de los tres meses tras terminar. Los de dos años presentan final.</w:t>
      </w:r>
    </w:p>
    <w:p>
      <w:pPr>
        <w:keepNext/>
      </w:pPr>
      <w:r>
        <w:rPr>
          <w:b/>
        </w:rPr>
        <w:t xml:space="preserve">Pasos o acción práctica: </w:t>
      </w:r>
      <w:r>
        <w:t>Crear calendario desde la fecha real de inicio y duración concedida.</w:t>
      </w:r>
    </w:p>
    <w:p>
      <w:pPr>
        <w:keepNext/>
      </w:pPr>
      <w:r>
        <w:rPr>
          <w:b/>
        </w:rPr>
        <w:t xml:space="preserve">Errores comunes: </w:t>
      </w:r>
      <w:r>
        <w:t>Contar desde el año de la convocatoria.</w:t>
      </w:r>
    </w:p>
    <w:p>
      <w:r>
        <w:rPr>
          <w:b/>
        </w:rPr>
        <w:t xml:space="preserve">Referencia normativa: </w:t>
      </w:r>
      <w:r>
        <w:t>D1. Art. 29.2.a).</w:t>
      </w:r>
    </w:p>
    <w:p>
      <w:pPr>
        <w:pStyle w:val="Heading3"/>
        <w:keepNext/>
      </w:pPr>
      <w:r>
        <w:t>151. ¿Cada subproyecto presenta su propia justificación?</w:t>
      </w:r>
    </w:p>
    <w:p>
      <w:pPr>
        <w:keepNext/>
      </w:pPr>
      <w:r>
        <w:rPr>
          <w:b/>
        </w:rPr>
        <w:t xml:space="preserve">Dificultad: </w:t>
      </w:r>
      <w:r>
        <w:t>Media</w:t>
      </w:r>
    </w:p>
    <w:p>
      <w:pPr>
        <w:keepNext/>
      </w:pPr>
      <w:r>
        <w:rPr>
          <w:b/>
        </w:rPr>
        <w:t xml:space="preserve">Respuesta: </w:t>
      </w:r>
      <w:r>
        <w:t>Sí, tanto económica como científico-técnica. La científica debe incorporar información para valorar coordinación, y en tipo I la colaboración internacional.</w:t>
      </w:r>
    </w:p>
    <w:p>
      <w:pPr>
        <w:keepNext/>
      </w:pPr>
      <w:r>
        <w:rPr>
          <w:b/>
        </w:rPr>
        <w:t xml:space="preserve">Pasos o acción práctica: </w:t>
      </w:r>
      <w:r>
        <w:t>Coordinar informes y conciliar responsabilidades y resultados.</w:t>
      </w:r>
    </w:p>
    <w:p>
      <w:pPr>
        <w:keepNext/>
      </w:pPr>
      <w:r>
        <w:rPr>
          <w:b/>
        </w:rPr>
        <w:t xml:space="preserve">Errores comunes: </w:t>
      </w:r>
      <w:r>
        <w:t>Presentar solo un informe del coordinador para todos.</w:t>
      </w:r>
    </w:p>
    <w:p>
      <w:r>
        <w:rPr>
          <w:b/>
        </w:rPr>
        <w:t xml:space="preserve">Referencia normativa: </w:t>
      </w:r>
      <w:r>
        <w:t>D1. Arts. 27.2 y 29.3.</w:t>
      </w:r>
    </w:p>
    <w:p>
      <w:pPr>
        <w:pStyle w:val="Heading3"/>
        <w:keepNext/>
      </w:pPr>
      <w:r>
        <w:t>152. ¿Qué contenido deben tener los informes científicos?</w:t>
      </w:r>
    </w:p>
    <w:p>
      <w:pPr>
        <w:keepNext/>
      </w:pPr>
      <w:r>
        <w:rPr>
          <w:b/>
        </w:rPr>
        <w:t xml:space="preserve">Dificultad: </w:t>
      </w:r>
      <w:r>
        <w:t>Media</w:t>
      </w:r>
    </w:p>
    <w:p>
      <w:pPr>
        <w:keepNext/>
      </w:pPr>
      <w:r>
        <w:rPr>
          <w:b/>
        </w:rPr>
        <w:t xml:space="preserve">Respuesta: </w:t>
      </w:r>
      <w:r>
        <w:t>Actividades, objetivos, resultados, dimensión de género, principales gastos y cambios, composición de equipos e indicadores finales. Se añaden autorizaciones y obligaciones específicas cuando procedan.</w:t>
      </w:r>
    </w:p>
    <w:p>
      <w:pPr>
        <w:keepNext/>
      </w:pPr>
      <w:r>
        <w:rPr>
          <w:b/>
        </w:rPr>
        <w:t xml:space="preserve">Pasos o acción práctica: </w:t>
      </w:r>
      <w:r>
        <w:t>Mantener registros de resultados y cambios desde el inicio.</w:t>
      </w:r>
    </w:p>
    <w:p>
      <w:pPr>
        <w:keepNext/>
      </w:pPr>
      <w:r>
        <w:rPr>
          <w:b/>
        </w:rPr>
        <w:t xml:space="preserve">Errores comunes: </w:t>
      </w:r>
      <w:r>
        <w:t>Explicar ciencia sin justificar los gastos principales.</w:t>
      </w:r>
    </w:p>
    <w:p>
      <w:r>
        <w:rPr>
          <w:b/>
        </w:rPr>
        <w:t xml:space="preserve">Referencia normativa: </w:t>
      </w:r>
      <w:r>
        <w:t>D1. Art. 29.2.b)-c).</w:t>
      </w:r>
    </w:p>
    <w:p>
      <w:pPr>
        <w:pStyle w:val="Heading3"/>
        <w:keepNext/>
      </w:pPr>
      <w:r>
        <w:t>153. ¿Cómo se justifica la contratación predoctoral?</w:t>
      </w:r>
    </w:p>
    <w:p>
      <w:pPr>
        <w:keepNext/>
      </w:pPr>
      <w:r>
        <w:rPr>
          <w:b/>
        </w:rPr>
        <w:t xml:space="preserve">Dificultad: </w:t>
      </w:r>
      <w:r>
        <w:t>Media</w:t>
      </w:r>
    </w:p>
    <w:p>
      <w:pPr>
        <w:keepNext/>
      </w:pPr>
      <w:r>
        <w:rPr>
          <w:b/>
        </w:rPr>
        <w:t xml:space="preserve">Respuesta: </w:t>
      </w:r>
      <w:r>
        <w:t>Por módulos: 2.708,33 euros mensuales, conforme a las condiciones y tiempo justificable. Estancias, matrícula e indemnización siguen cuenta justificativa simplificada; no deben mezclarse sistemas.</w:t>
      </w:r>
    </w:p>
    <w:p>
      <w:pPr>
        <w:keepNext/>
      </w:pPr>
      <w:r>
        <w:rPr>
          <w:b/>
        </w:rPr>
        <w:t xml:space="preserve">Pasos o acción práctica: </w:t>
      </w:r>
      <w:r>
        <w:t>Usar modelos específicos y revisar instrucciones de cálculo y redondeo.</w:t>
      </w:r>
    </w:p>
    <w:p>
      <w:pPr>
        <w:keepNext/>
      </w:pPr>
      <w:r>
        <w:rPr>
          <w:b/>
        </w:rPr>
        <w:t xml:space="preserve">Errores comunes: </w:t>
      </w:r>
      <w:r>
        <w:t>Justificar toda la ayuda por facturas o toda por módulos.</w:t>
      </w:r>
    </w:p>
    <w:p>
      <w:r>
        <w:rPr>
          <w:b/>
        </w:rPr>
        <w:t xml:space="preserve">Referencia normativa: </w:t>
      </w:r>
      <w:r>
        <w:t>D1. Arts. 26.2 y 28.3.</w:t>
      </w:r>
    </w:p>
    <w:p>
      <w:pPr>
        <w:pStyle w:val="Heading3"/>
        <w:keepNext/>
      </w:pPr>
      <w:r>
        <w:t>154. ¿Cuándo se justifica económicamente cada anualidad predoctoral?</w:t>
      </w:r>
    </w:p>
    <w:p>
      <w:pPr>
        <w:keepNext/>
      </w:pPr>
      <w:r>
        <w:rPr>
          <w:b/>
        </w:rPr>
        <w:t xml:space="preserve">Dificultad: </w:t>
      </w:r>
      <w:r>
        <w:t>Compleja</w:t>
      </w:r>
    </w:p>
    <w:p>
      <w:pPr>
        <w:keepNext/>
      </w:pPr>
      <w:r>
        <w:rPr>
          <w:b/>
        </w:rPr>
        <w:t xml:space="preserve">Respuesta: </w:t>
      </w:r>
      <w:r>
        <w:t>En tres meses desde el día siguiente al final de cada anualidad de ejecución, según cómputo de la actuación. No es necesariamente una anualidad de enero a diciembre.</w:t>
      </w:r>
    </w:p>
    <w:p>
      <w:pPr>
        <w:keepNext/>
      </w:pPr>
      <w:r>
        <w:rPr>
          <w:b/>
        </w:rPr>
        <w:t xml:space="preserve">Pasos o acción práctica: </w:t>
      </w:r>
      <w:r>
        <w:t>Calcular anualidades por incorporación e interrupciones autorizadas.</w:t>
      </w:r>
    </w:p>
    <w:p>
      <w:pPr>
        <w:keepNext/>
      </w:pPr>
      <w:r>
        <w:rPr>
          <w:b/>
        </w:rPr>
        <w:t xml:space="preserve">Errores comunes: </w:t>
      </w:r>
      <w:r>
        <w:t>Aplicar automáticamente el calendario del proyecto asociado.</w:t>
      </w:r>
    </w:p>
    <w:p>
      <w:r>
        <w:rPr>
          <w:b/>
        </w:rPr>
        <w:t xml:space="preserve">Referencia normativa: </w:t>
      </w:r>
      <w:r>
        <w:t>D1. Arts. 28.2 y 12.1.</w:t>
      </w:r>
    </w:p>
    <w:p>
      <w:pPr>
        <w:pStyle w:val="Heading3"/>
        <w:keepNext/>
      </w:pPr>
      <w:r>
        <w:t>155. ¿Hay que enviar nóminas en la justificación por módulos?</w:t>
      </w:r>
    </w:p>
    <w:p>
      <w:pPr>
        <w:keepNext/>
      </w:pPr>
      <w:r>
        <w:rPr>
          <w:b/>
        </w:rPr>
        <w:t xml:space="preserve">Dificultad: </w:t>
      </w:r>
      <w:r>
        <w:t>Media</w:t>
      </w:r>
    </w:p>
    <w:p>
      <w:pPr>
        <w:keepNext/>
      </w:pPr>
      <w:r>
        <w:rPr>
          <w:b/>
        </w:rPr>
        <w:t xml:space="preserve">Respuesta: </w:t>
      </w:r>
      <w:r>
        <w:t>El artículo 28.3 dispensa de aportar libros o justificantes de gasto en ese componente. Deben mantenerse los controles laborales y evidencias de ejecución necesarios; otros componentes sí exigen soporte de gasto y pago.</w:t>
      </w:r>
    </w:p>
    <w:p>
      <w:pPr>
        <w:keepNext/>
      </w:pPr>
      <w:r>
        <w:rPr>
          <w:b/>
        </w:rPr>
        <w:t xml:space="preserve">Pasos o acción práctica: </w:t>
      </w:r>
      <w:r>
        <w:t>Separar documentación de módulos y cuenta simplificada.</w:t>
      </w:r>
    </w:p>
    <w:p>
      <w:pPr>
        <w:keepNext/>
      </w:pPr>
      <w:r>
        <w:rPr>
          <w:b/>
        </w:rPr>
        <w:t xml:space="preserve">Errores comunes: </w:t>
      </w:r>
      <w:r>
        <w:t>Destruir documentación laboral por la dispensa de presentación.</w:t>
      </w:r>
    </w:p>
    <w:p>
      <w:r>
        <w:rPr>
          <w:b/>
        </w:rPr>
        <w:t xml:space="preserve">Referencia normativa: </w:t>
      </w:r>
      <w:r>
        <w:t>D1. Arts. 28.3 y 31.1.</w:t>
      </w:r>
    </w:p>
    <w:p>
      <w:pPr>
        <w:pStyle w:val="Heading3"/>
        <w:keepNext/>
      </w:pPr>
      <w:r>
        <w:t>156. ¿Cuándo se presentan los informes predoctorales?</w:t>
      </w:r>
    </w:p>
    <w:p>
      <w:pPr>
        <w:keepNext/>
      </w:pPr>
      <w:r>
        <w:rPr>
          <w:b/>
        </w:rPr>
        <w:t xml:space="preserve">Dificultad: </w:t>
      </w:r>
      <w:r>
        <w:t>Media</w:t>
      </w:r>
    </w:p>
    <w:p>
      <w:pPr>
        <w:keepNext/>
      </w:pPr>
      <w:r>
        <w:rPr>
          <w:b/>
        </w:rPr>
        <w:t xml:space="preserve">Respuesta: </w:t>
      </w:r>
      <w:r>
        <w:t>El intermedio durante los meses 23 y 24 de ejecución y el final durante el mes siguiente al fin. Se adjunta currículo actualizado y se describe la evolución doctoral y las estancias.</w:t>
      </w:r>
    </w:p>
    <w:p>
      <w:pPr>
        <w:keepNext/>
      </w:pPr>
      <w:r>
        <w:rPr>
          <w:b/>
        </w:rPr>
        <w:t xml:space="preserve">Pasos o acción práctica: </w:t>
      </w:r>
      <w:r>
        <w:t>Programar avisos antes del mes 23.</w:t>
      </w:r>
    </w:p>
    <w:p>
      <w:pPr>
        <w:keepNext/>
      </w:pPr>
      <w:r>
        <w:rPr>
          <w:b/>
        </w:rPr>
        <w:t xml:space="preserve">Errores comunes: </w:t>
      </w:r>
      <w:r>
        <w:t>Aplicar al predoctoral el plazo final de tres meses del proyecto.</w:t>
      </w:r>
    </w:p>
    <w:p>
      <w:r>
        <w:rPr>
          <w:b/>
        </w:rPr>
        <w:t xml:space="preserve">Referencia normativa: </w:t>
      </w:r>
      <w:r>
        <w:t>D1. Art. 30.2.</w:t>
      </w:r>
    </w:p>
    <w:p>
      <w:pPr>
        <w:pStyle w:val="Heading3"/>
        <w:keepNext/>
      </w:pPr>
      <w:r>
        <w:t>157. ¿Qué pasa con un informe intermedio negativo o ausente?</w:t>
      </w:r>
    </w:p>
    <w:p>
      <w:pPr>
        <w:keepNext/>
      </w:pPr>
      <w:r>
        <w:rPr>
          <w:b/>
        </w:rPr>
        <w:t xml:space="preserve">Dificultad: </w:t>
      </w:r>
      <w:r>
        <w:t>Media</w:t>
      </w:r>
    </w:p>
    <w:p>
      <w:pPr>
        <w:keepNext/>
      </w:pPr>
      <w:r>
        <w:rPr>
          <w:b/>
        </w:rPr>
        <w:t xml:space="preserve">Respuesta: </w:t>
      </w:r>
      <w:r>
        <w:t>En proyectos puede haber interrupción o pérdida de pagos; en predoctorales supone interrupción, pérdida de anualidades pendientes y reintegro total o parcial. Las reglas no son idénticas.</w:t>
      </w:r>
    </w:p>
    <w:p>
      <w:pPr>
        <w:keepNext/>
      </w:pPr>
      <w:r>
        <w:rPr>
          <w:b/>
        </w:rPr>
        <w:t xml:space="preserve">Pasos o acción práctica: </w:t>
      </w:r>
      <w:r>
        <w:t>Tramitar en plazo y revisar objetivos y formación antes del informe.</w:t>
      </w:r>
    </w:p>
    <w:p>
      <w:pPr>
        <w:keepNext/>
      </w:pPr>
      <w:r>
        <w:rPr>
          <w:b/>
        </w:rPr>
        <w:t xml:space="preserve">Errores comunes: </w:t>
      </w:r>
      <w:r>
        <w:t>Creer que solo afecta a la puntuación futura.</w:t>
      </w:r>
    </w:p>
    <w:p>
      <w:r>
        <w:rPr>
          <w:b/>
        </w:rPr>
        <w:t xml:space="preserve">Referencia normativa: </w:t>
      </w:r>
      <w:r>
        <w:t>D1. Arts. 29.5 y 30.2.</w:t>
      </w:r>
    </w:p>
    <w:p>
      <w:pPr>
        <w:pStyle w:val="Heading3"/>
        <w:keepNext/>
      </w:pPr>
      <w:r>
        <w:t>158. ¿Los últimos pagos dependen del seguimiento?</w:t>
      </w:r>
    </w:p>
    <w:p>
      <w:pPr>
        <w:keepNext/>
      </w:pPr>
      <w:r>
        <w:rPr>
          <w:b/>
        </w:rPr>
        <w:t xml:space="preserve">Dificultad: </w:t>
      </w:r>
      <w:r>
        <w:t>Media</w:t>
      </w:r>
    </w:p>
    <w:p>
      <w:pPr>
        <w:keepNext/>
      </w:pPr>
      <w:r>
        <w:rPr>
          <w:b/>
        </w:rPr>
        <w:t xml:space="preserve">Respuesta: </w:t>
      </w:r>
      <w:r>
        <w:t>Sí. En proyectos de tres o cuatro años el último pago depende de la presentación y evaluación positiva del informe intermedio; en predoctorales condiciona la cuarta anualidad.</w:t>
      </w:r>
    </w:p>
    <w:p>
      <w:pPr>
        <w:keepNext/>
      </w:pPr>
      <w:r>
        <w:rPr>
          <w:b/>
        </w:rPr>
        <w:t xml:space="preserve">Pasos o acción práctica: </w:t>
      </w:r>
      <w:r>
        <w:t>Vincular calendario de informes y previsión de tesorería.</w:t>
      </w:r>
    </w:p>
    <w:p>
      <w:pPr>
        <w:keepNext/>
      </w:pPr>
      <w:r>
        <w:rPr>
          <w:b/>
        </w:rPr>
        <w:t xml:space="preserve">Errores comunes: </w:t>
      </w:r>
      <w:r>
        <w:t>Esperar el pago sin haber enviado el seguimiento.</w:t>
      </w:r>
    </w:p>
    <w:p>
      <w:r>
        <w:rPr>
          <w:b/>
        </w:rPr>
        <w:t xml:space="preserve">Referencia normativa: </w:t>
      </w:r>
      <w:r>
        <w:t>D1. Arts. 24.4-5.</w:t>
      </w:r>
    </w:p>
    <w:p>
      <w:pPr>
        <w:pStyle w:val="Heading2"/>
      </w:pPr>
      <w:r>
        <w:t>Publicidad y comunicación</w:t>
      </w:r>
    </w:p>
    <w:p>
      <w:pPr>
        <w:pStyle w:val="Heading3"/>
        <w:keepNext/>
      </w:pPr>
      <w:r>
        <w:t>159. ¿Cómo debe reconocerse la financiación de la AEI?</w:t>
      </w:r>
    </w:p>
    <w:p>
      <w:pPr>
        <w:keepNext/>
      </w:pPr>
      <w:r>
        <w:rPr>
          <w:b/>
        </w:rPr>
        <w:t xml:space="preserve">Dificultad: </w:t>
      </w:r>
      <w:r>
        <w:t>Media</w:t>
      </w:r>
    </w:p>
    <w:p>
      <w:pPr>
        <w:keepNext/>
      </w:pPr>
      <w:r>
        <w:rPr>
          <w:b/>
        </w:rPr>
        <w:t xml:space="preserve">Respuesta: </w:t>
      </w:r>
      <w:r>
        <w:t>Debe identificarse la ayuda y su financiación por MICIU/AEI/10.13039/501100011033 en contratos, publicaciones y otras actuaciones. Se incorporan logotipos de Ministerio y AEI en el orden y condiciones establecidos.</w:t>
      </w:r>
    </w:p>
    <w:p>
      <w:pPr>
        <w:keepNext/>
      </w:pPr>
      <w:r>
        <w:rPr>
          <w:b/>
        </w:rPr>
        <w:t xml:space="preserve">Pasos o acción práctica: </w:t>
      </w:r>
      <w:r>
        <w:t>Revisar modelos, web, materiales y evidencias antes de difundir.</w:t>
      </w:r>
    </w:p>
    <w:p>
      <w:pPr>
        <w:keepNext/>
      </w:pPr>
      <w:r>
        <w:rPr>
          <w:b/>
        </w:rPr>
        <w:t xml:space="preserve">Errores comunes: </w:t>
      </w:r>
      <w:r>
        <w:t>Usar solo el logo UVa o una mención genérica al ministerio.</w:t>
      </w:r>
    </w:p>
    <w:p>
      <w:r>
        <w:rPr>
          <w:b/>
        </w:rPr>
        <w:t xml:space="preserve">Referencia normativa: </w:t>
      </w:r>
      <w:r>
        <w:t>D1. Arts. 11.3.a), 11.3.j) y 23.5.</w:t>
      </w:r>
    </w:p>
    <w:p>
      <w:pPr>
        <w:pStyle w:val="Heading3"/>
        <w:keepNext/>
      </w:pPr>
      <w:r>
        <w:t>160. ¿La publicidad incluye web y redes sociales?</w:t>
      </w:r>
    </w:p>
    <w:p>
      <w:pPr>
        <w:keepNext/>
      </w:pPr>
      <w:r>
        <w:rPr>
          <w:b/>
        </w:rPr>
        <w:t xml:space="preserve">Dificultad: </w:t>
      </w:r>
      <w:r>
        <w:t>Media</w:t>
      </w:r>
    </w:p>
    <w:p>
      <w:pPr>
        <w:keepNext/>
      </w:pPr>
      <w:r>
        <w:rPr>
          <w:b/>
        </w:rPr>
        <w:t xml:space="preserve">Respuesta: </w:t>
      </w:r>
      <w:r>
        <w:t>Sí, la obligación alcanza también medios de comunicación, páginas web, documentación divulgativa y redes sociales derivados de la ayuda. Debe conservarse evidencia verificable.</w:t>
      </w:r>
    </w:p>
    <w:p>
      <w:pPr>
        <w:keepNext/>
      </w:pPr>
      <w:r>
        <w:rPr>
          <w:b/>
        </w:rPr>
        <w:t xml:space="preserve">Pasos o acción práctica: </w:t>
      </w:r>
      <w:r>
        <w:t>Guardar capturas o copias de difusión con fecha.</w:t>
      </w:r>
    </w:p>
    <w:p>
      <w:pPr>
        <w:keepNext/>
      </w:pPr>
      <w:r>
        <w:rPr>
          <w:b/>
        </w:rPr>
        <w:t xml:space="preserve">Errores comunes: </w:t>
      </w:r>
      <w:r>
        <w:t>Reconocer financiación únicamente en el informe final.</w:t>
      </w:r>
    </w:p>
    <w:p>
      <w:r>
        <w:rPr>
          <w:b/>
        </w:rPr>
        <w:t xml:space="preserve">Referencia normativa: </w:t>
      </w:r>
      <w:r>
        <w:t>D1. Art. 23.5.</w:t>
      </w:r>
    </w:p>
    <w:p>
      <w:pPr>
        <w:pStyle w:val="Heading3"/>
        <w:keepNext/>
      </w:pPr>
      <w:r>
        <w:t>161. ¿El correo de aviso AEI sustituye una notificación?</w:t>
      </w:r>
    </w:p>
    <w:p>
      <w:pPr>
        <w:keepNext/>
      </w:pPr>
      <w:r>
        <w:rPr>
          <w:b/>
        </w:rPr>
        <w:t xml:space="preserve">Dificultad: </w:t>
      </w:r>
      <w:r>
        <w:t>Media</w:t>
      </w:r>
    </w:p>
    <w:p>
      <w:pPr>
        <w:keepNext/>
      </w:pPr>
      <w:r>
        <w:rPr>
          <w:b/>
        </w:rPr>
        <w:t xml:space="preserve">Respuesta: </w:t>
      </w:r>
      <w:r>
        <w:t>No. Es un aviso informativo. La publicación web de actos de concesión o la notificación electrónica correspondiente produce los efectos jurídicos previstos.</w:t>
      </w:r>
    </w:p>
    <w:p>
      <w:pPr>
        <w:keepNext/>
      </w:pPr>
      <w:r>
        <w:rPr>
          <w:b/>
        </w:rPr>
        <w:t xml:space="preserve">Pasos o acción práctica: </w:t>
      </w:r>
      <w:r>
        <w:t>Revisar web y carpeta de expedientes regularmente.</w:t>
      </w:r>
    </w:p>
    <w:p>
      <w:pPr>
        <w:keepNext/>
      </w:pPr>
      <w:r>
        <w:rPr>
          <w:b/>
        </w:rPr>
        <w:t xml:space="preserve">Errores comunes: </w:t>
      </w:r>
      <w:r>
        <w:t>Esperar el correo para comenzar a contar un plazo.</w:t>
      </w:r>
    </w:p>
    <w:p>
      <w:r>
        <w:rPr>
          <w:b/>
        </w:rPr>
        <w:t xml:space="preserve">Referencia normativa: </w:t>
      </w:r>
      <w:r>
        <w:t>D1. Art. 6.3-5.</w:t>
      </w:r>
    </w:p>
    <w:p>
      <w:pPr>
        <w:pStyle w:val="Heading2"/>
      </w:pPr>
      <w:r>
        <w:t>Reintegros y control</w:t>
      </w:r>
    </w:p>
    <w:p>
      <w:pPr>
        <w:pStyle w:val="Heading3"/>
        <w:keepNext/>
      </w:pPr>
      <w:r>
        <w:t>162. ¿Qué ocurre si no se presenta la justificación?</w:t>
      </w:r>
    </w:p>
    <w:p>
      <w:pPr>
        <w:keepNext/>
      </w:pPr>
      <w:r>
        <w:rPr>
          <w:b/>
        </w:rPr>
        <w:t xml:space="preserve">Dificultad: </w:t>
      </w:r>
      <w:r>
        <w:t>Media</w:t>
      </w:r>
    </w:p>
    <w:p>
      <w:pPr>
        <w:keepNext/>
      </w:pPr>
      <w:r>
        <w:rPr>
          <w:b/>
        </w:rPr>
        <w:t xml:space="preserve">Respuesta: </w:t>
      </w:r>
      <w:r>
        <w:t>Tras vencer el plazo, se requiere presentarla en un plazo improrrogable de quince días. La falta de presentación determina exigencia de reintegro conforme al régimen aplicable.</w:t>
      </w:r>
    </w:p>
    <w:p>
      <w:pPr>
        <w:keepNext/>
      </w:pPr>
      <w:r>
        <w:rPr>
          <w:b/>
        </w:rPr>
        <w:t xml:space="preserve">Pasos o acción práctica: </w:t>
      </w:r>
      <w:r>
        <w:t>Atender inmediatamente el requerimiento sin usarlo como prórroga ordinaria.</w:t>
      </w:r>
    </w:p>
    <w:p>
      <w:pPr>
        <w:keepNext/>
      </w:pPr>
      <w:r>
        <w:rPr>
          <w:b/>
        </w:rPr>
        <w:t xml:space="preserve">Errores comunes: </w:t>
      </w:r>
      <w:r>
        <w:t>Planificar la entrega contando con esos quince días extra.</w:t>
      </w:r>
    </w:p>
    <w:p>
      <w:r>
        <w:rPr>
          <w:b/>
        </w:rPr>
        <w:t xml:space="preserve">Referencia normativa: </w:t>
      </w:r>
      <w:r>
        <w:t>D1. Art. 26.4; arts. 70.3 y 92.1 del RD 887/2006, por remisión.</w:t>
      </w:r>
    </w:p>
    <w:p>
      <w:pPr>
        <w:pStyle w:val="Heading3"/>
        <w:keepNext/>
      </w:pPr>
      <w:r>
        <w:t>163. ¿Cómo se devuelve un remanente voluntariamente?</w:t>
      </w:r>
    </w:p>
    <w:p>
      <w:pPr>
        <w:keepNext/>
      </w:pPr>
      <w:r>
        <w:rPr>
          <w:b/>
        </w:rPr>
        <w:t xml:space="preserve">Dificultad: </w:t>
      </w:r>
      <w:r>
        <w:t>Media</w:t>
      </w:r>
    </w:p>
    <w:p>
      <w:pPr>
        <w:keepNext/>
      </w:pPr>
      <w:r>
        <w:rPr>
          <w:b/>
        </w:rPr>
        <w:t xml:space="preserve">Respuesta: </w:t>
      </w:r>
      <w:r>
        <w:t>Debe solicitarse a la AEI la carta de pago de ingresos no tributarios y seguir el procedimiento de devolución. No debe transferirse a una cuenta no verificada.</w:t>
      </w:r>
    </w:p>
    <w:p>
      <w:pPr>
        <w:keepNext/>
      </w:pPr>
      <w:r>
        <w:rPr>
          <w:b/>
        </w:rPr>
        <w:t xml:space="preserve">Pasos o acción práctica: </w:t>
      </w:r>
      <w:r>
        <w:t>Conciliar saldo y solicitar carta de pago.</w:t>
      </w:r>
    </w:p>
    <w:p>
      <w:pPr>
        <w:keepNext/>
      </w:pPr>
      <w:r>
        <w:rPr>
          <w:b/>
        </w:rPr>
        <w:t xml:space="preserve">Errores comunes: </w:t>
      </w:r>
      <w:r>
        <w:t>Restar el remanente del siguiente proyecto sin autorización.</w:t>
      </w:r>
    </w:p>
    <w:p>
      <w:r>
        <w:rPr>
          <w:b/>
        </w:rPr>
        <w:t xml:space="preserve">Referencia normativa: </w:t>
      </w:r>
      <w:r>
        <w:t>D1. Art. 31.2; art. 90 del RD 887/2006, por remisión.</w:t>
      </w:r>
    </w:p>
    <w:p>
      <w:pPr>
        <w:pStyle w:val="Heading3"/>
        <w:keepNext/>
      </w:pPr>
      <w:r>
        <w:t>164. ¿Qué ocurre al extinguirse anticipadamente un contrato predoctoral?</w:t>
      </w:r>
    </w:p>
    <w:p>
      <w:pPr>
        <w:keepNext/>
      </w:pPr>
      <w:r>
        <w:rPr>
          <w:b/>
        </w:rPr>
        <w:t xml:space="preserve">Dificultad: </w:t>
      </w:r>
      <w:r>
        <w:t>Media</w:t>
      </w:r>
    </w:p>
    <w:p>
      <w:pPr>
        <w:keepNext/>
      </w:pPr>
      <w:r>
        <w:rPr>
          <w:b/>
        </w:rPr>
        <w:t xml:space="preserve">Respuesta: </w:t>
      </w:r>
      <w:r>
        <w:t>Deben reintegrarse fondos no invertidos e intereses de demora. En contratación, la regla general de remanente atiende a la proporción de tiempo no ejecutado, sin perjuicio de sustituciones admisibles.</w:t>
      </w:r>
    </w:p>
    <w:p>
      <w:pPr>
        <w:keepNext/>
      </w:pPr>
      <w:r>
        <w:rPr>
          <w:b/>
        </w:rPr>
        <w:t xml:space="preserve">Pasos o acción práctica: </w:t>
      </w:r>
      <w:r>
        <w:t>Comunicar extinción, calcular ejecución y tramitar devolución.</w:t>
      </w:r>
    </w:p>
    <w:p>
      <w:pPr>
        <w:keepNext/>
      </w:pPr>
      <w:r>
        <w:rPr>
          <w:b/>
        </w:rPr>
        <w:t xml:space="preserve">Errores comunes: </w:t>
      </w:r>
      <w:r>
        <w:t>Conservar toda la dotación por haber seleccionado inicialmente a la persona.</w:t>
      </w:r>
    </w:p>
    <w:p>
      <w:r>
        <w:rPr>
          <w:b/>
        </w:rPr>
        <w:t xml:space="preserve">Referencia normativa: </w:t>
      </w:r>
      <w:r>
        <w:t>D1. Art. 28.4; art. 12.1.</w:t>
      </w:r>
    </w:p>
    <w:p>
      <w:pPr>
        <w:pStyle w:val="Heading3"/>
        <w:keepNext/>
      </w:pPr>
      <w:r>
        <w:t>165. ¿Quién puede controlar las ayudas?</w:t>
      </w:r>
    </w:p>
    <w:p>
      <w:pPr>
        <w:keepNext/>
      </w:pPr>
      <w:r>
        <w:rPr>
          <w:b/>
        </w:rPr>
        <w:t xml:space="preserve">Dificultad: </w:t>
      </w:r>
      <w:r>
        <w:t>Media</w:t>
      </w:r>
    </w:p>
    <w:p>
      <w:pPr>
        <w:keepNext/>
      </w:pPr>
      <w:r>
        <w:rPr>
          <w:b/>
        </w:rPr>
        <w:t xml:space="preserve">Respuesta: </w:t>
      </w:r>
      <w:r>
        <w:t>La AEI y los órganos habilitados, incluida IGAE y Tribunal de Cuentas, pueden solicitar información. La entidad debe facilitarla y mantener documentación justificativa disponible.</w:t>
      </w:r>
    </w:p>
    <w:p>
      <w:pPr>
        <w:keepNext/>
      </w:pPr>
      <w:r>
        <w:rPr>
          <w:b/>
        </w:rPr>
        <w:t xml:space="preserve">Pasos o acción práctica: </w:t>
      </w:r>
      <w:r>
        <w:t>Asignar responsables de custodia y localizar expedientes.</w:t>
      </w:r>
    </w:p>
    <w:p>
      <w:pPr>
        <w:keepNext/>
      </w:pPr>
      <w:r>
        <w:rPr>
          <w:b/>
        </w:rPr>
        <w:t xml:space="preserve">Errores comunes: </w:t>
      </w:r>
      <w:r>
        <w:t>Suponer que termina el control al aceptarse un informe.</w:t>
      </w:r>
    </w:p>
    <w:p>
      <w:r>
        <w:rPr>
          <w:b/>
        </w:rPr>
        <w:t xml:space="preserve">Referencia normativa: </w:t>
      </w:r>
      <w:r>
        <w:t>D1. Arts. 23.2, 27.4-5 y 31.1.</w:t>
      </w:r>
    </w:p>
    <w:p>
      <w:pPr>
        <w:pStyle w:val="Heading3"/>
        <w:keepNext/>
      </w:pPr>
      <w:r>
        <w:t>166. ¿Falsedad o plagio pueden afectar a futuras solicitudes?</w:t>
      </w:r>
    </w:p>
    <w:p>
      <w:pPr>
        <w:keepNext/>
      </w:pPr>
      <w:r>
        <w:rPr>
          <w:b/>
        </w:rPr>
        <w:t xml:space="preserve">Dificultad: </w:t>
      </w:r>
      <w:r>
        <w:t>Media</w:t>
      </w:r>
    </w:p>
    <w:p>
      <w:pPr>
        <w:keepNext/>
      </w:pPr>
      <w:r>
        <w:rPr>
          <w:b/>
        </w:rPr>
        <w:t xml:space="preserve">Respuesta: </w:t>
      </w:r>
      <w:r>
        <w:t>Sí. La exclusión por datos falsos, incongruentes o plagiados puede impedir figurar en la siguiente convocatoria, además de otras responsabilidades. No es una mera incidencia formal.</w:t>
      </w:r>
    </w:p>
    <w:p>
      <w:pPr>
        <w:keepNext/>
      </w:pPr>
      <w:r>
        <w:rPr>
          <w:b/>
        </w:rPr>
        <w:t xml:space="preserve">Pasos o acción práctica: </w:t>
      </w:r>
      <w:r>
        <w:t>Contrastar datos, autoría y consistencia de documentos.</w:t>
      </w:r>
    </w:p>
    <w:p>
      <w:pPr>
        <w:keepNext/>
      </w:pPr>
      <w:r>
        <w:rPr>
          <w:b/>
        </w:rPr>
        <w:t xml:space="preserve">Errores comunes: </w:t>
      </w:r>
      <w:r>
        <w:t>Copiar contenidos sin comprobar su exactitud o procedencia.</w:t>
      </w:r>
    </w:p>
    <w:p>
      <w:r>
        <w:rPr>
          <w:b/>
        </w:rPr>
        <w:t xml:space="preserve">Referencia normativa: </w:t>
      </w:r>
      <w:r>
        <w:t>D1. Art. 19.2.</w:t>
      </w:r>
    </w:p>
    <w:p>
      <w:pPr>
        <w:pStyle w:val="Heading3"/>
        <w:keepNext/>
      </w:pPr>
      <w:r>
        <w:t>167. ¿Hay una fecha fija universal para destruir los justificantes?</w:t>
      </w:r>
    </w:p>
    <w:p>
      <w:pPr>
        <w:keepNext/>
      </w:pPr>
      <w:r>
        <w:rPr>
          <w:b/>
        </w:rPr>
        <w:t xml:space="preserve">Dificultad: </w:t>
      </w:r>
      <w:r>
        <w:t>Media</w:t>
      </w:r>
    </w:p>
    <w:p>
      <w:pPr>
        <w:keepNext/>
      </w:pPr>
      <w:r>
        <w:rPr>
          <w:b/>
        </w:rPr>
        <w:t xml:space="preserve">Respuesta: </w:t>
      </w:r>
      <w:r>
        <w:t>No se establece una fecha calendario única. La custodia se vincula al artículo 39 de la LGS y a los procedimientos de verificación y control, además de las obligaciones documentales aplicables.</w:t>
      </w:r>
    </w:p>
    <w:p>
      <w:pPr>
        <w:keepNext/>
      </w:pPr>
      <w:r>
        <w:rPr>
          <w:b/>
        </w:rPr>
        <w:t xml:space="preserve">Pasos o acción práctica: </w:t>
      </w:r>
      <w:r>
        <w:t>Aplicar política de conservación y revisar incidencias que afectan a plazos.</w:t>
      </w:r>
    </w:p>
    <w:p>
      <w:pPr>
        <w:keepNext/>
      </w:pPr>
      <w:r>
        <w:rPr>
          <w:b/>
        </w:rPr>
        <w:t xml:space="preserve">Errores comunes: </w:t>
      </w:r>
      <w:r>
        <w:t>Destruir todo cuatro años después de la factura de forma automática.</w:t>
      </w:r>
    </w:p>
    <w:p>
      <w:r>
        <w:rPr>
          <w:b/>
        </w:rPr>
        <w:t xml:space="preserve">Referencia normativa: </w:t>
      </w:r>
      <w:r>
        <w:t>D1. Arts. 23.2 y 27.4; art. 39 de la Ley 38/2003, por remisión.</w:t>
      </w:r>
    </w:p>
    <w:p>
      <w:pPr>
        <w:pStyle w:val="Heading2"/>
      </w:pPr>
      <w:r>
        <w:t>Protección de datos y propiedad intelectual</w:t>
      </w:r>
    </w:p>
    <w:p>
      <w:pPr>
        <w:pStyle w:val="Heading3"/>
        <w:keepNext/>
      </w:pPr>
      <w:r>
        <w:t>168. ¿Qué obligaciones de acceso abierto tienen las publicaciones?</w:t>
      </w:r>
    </w:p>
    <w:p>
      <w:pPr>
        <w:keepNext/>
      </w:pPr>
      <w:r>
        <w:rPr>
          <w:b/>
        </w:rPr>
        <w:t xml:space="preserve">Dificultad: </w:t>
      </w:r>
      <w:r>
        <w:t>Compleja</w:t>
      </w:r>
    </w:p>
    <w:p>
      <w:pPr>
        <w:keepNext/>
      </w:pPr>
      <w:r>
        <w:rPr>
          <w:b/>
        </w:rPr>
        <w:t xml:space="preserve">Respuesta: </w:t>
      </w:r>
      <w:r>
        <w:t>Debe depositarse la versión final aceptada y los datos asociados en repositorio de acceso abierto simultáneamente a la publicación. La entidad debe conservar los derechos necesarios para cumplirlo.</w:t>
      </w:r>
    </w:p>
    <w:p>
      <w:pPr>
        <w:keepNext/>
      </w:pPr>
      <w:r>
        <w:rPr>
          <w:b/>
        </w:rPr>
        <w:t xml:space="preserve">Pasos o acción práctica: </w:t>
      </w:r>
      <w:r>
        <w:t>Revisar acuerdos editoriales y realizar depósito verificable.</w:t>
      </w:r>
    </w:p>
    <w:p>
      <w:pPr>
        <w:keepNext/>
      </w:pPr>
      <w:r>
        <w:rPr>
          <w:b/>
        </w:rPr>
        <w:t xml:space="preserve">Errores comunes: </w:t>
      </w:r>
      <w:r>
        <w:t>Esperar al cierre del proyecto para archivar todos los artículos.</w:t>
      </w:r>
    </w:p>
    <w:p>
      <w:r>
        <w:rPr>
          <w:b/>
        </w:rPr>
        <w:t xml:space="preserve">Referencia normativa: </w:t>
      </w:r>
      <w:r>
        <w:t>D1. Art. 23.3.a); art. 37 de la Ley 14/2011, por remisión.</w:t>
      </w:r>
    </w:p>
    <w:p>
      <w:pPr>
        <w:pStyle w:val="Heading3"/>
        <w:keepNext/>
      </w:pPr>
      <w:r>
        <w:t>169. ¿Cuándo deben depositarse datos y plan de gestión?</w:t>
      </w:r>
    </w:p>
    <w:p>
      <w:pPr>
        <w:keepNext/>
      </w:pPr>
      <w:r>
        <w:rPr>
          <w:b/>
        </w:rPr>
        <w:t xml:space="preserve">Dificultad: </w:t>
      </w:r>
      <w:r>
        <w:t>Compleja</w:t>
      </w:r>
    </w:p>
    <w:p>
      <w:pPr>
        <w:keepNext/>
      </w:pPr>
      <w:r>
        <w:rPr>
          <w:b/>
        </w:rPr>
        <w:t xml:space="preserve">Respuesta: </w:t>
      </w:r>
      <w:r>
        <w:t>Los datos deben gestionarse según FAIR y depositarse cuanto antes, siempre antes de dos años desde el fin del proyecto. El plan de gestión se deposita al elaborarse e incluye acceso, licencia, reutilización y cita.</w:t>
      </w:r>
    </w:p>
    <w:p>
      <w:pPr>
        <w:keepNext/>
      </w:pPr>
      <w:r>
        <w:rPr>
          <w:b/>
        </w:rPr>
        <w:t xml:space="preserve">Pasos o acción práctica: </w:t>
      </w:r>
      <w:r>
        <w:t>Preparar plan y repositorio, revisando protección de datos y derechos.</w:t>
      </w:r>
    </w:p>
    <w:p>
      <w:pPr>
        <w:keepNext/>
      </w:pPr>
      <w:r>
        <w:rPr>
          <w:b/>
        </w:rPr>
        <w:t xml:space="preserve">Errores comunes: </w:t>
      </w:r>
      <w:r>
        <w:t>Aplicar el plazo de dos años al plan de gestión.</w:t>
      </w:r>
    </w:p>
    <w:p>
      <w:r>
        <w:rPr>
          <w:b/>
        </w:rPr>
        <w:t xml:space="preserve">Referencia normativa: </w:t>
      </w:r>
      <w:r>
        <w:t>D1. Art. 23.3.a).</w:t>
      </w:r>
    </w:p>
    <w:p>
      <w:pPr>
        <w:pStyle w:val="Heading3"/>
        <w:keepNext/>
      </w:pPr>
      <w:r>
        <w:t>170. ¿Puede protegerse un resultado antes de hacerlo público?</w:t>
      </w:r>
    </w:p>
    <w:p>
      <w:pPr>
        <w:keepNext/>
      </w:pPr>
      <w:r>
        <w:rPr>
          <w:b/>
        </w:rPr>
        <w:t xml:space="preserve">Dificultad: </w:t>
      </w:r>
      <w:r>
        <w:t>Compleja</w:t>
      </w:r>
    </w:p>
    <w:p>
      <w:pPr>
        <w:keepNext/>
      </w:pPr>
      <w:r>
        <w:rPr>
          <w:b/>
        </w:rPr>
        <w:t xml:space="preserve">Respuesta: </w:t>
      </w:r>
      <w:r>
        <w:t>Sí. La convocatoria admite protección previa de derechos sobre resultados. Debe coordinarse con las obligaciones de acceso abierto y con la normativa de propiedad industrial, intelectual y secreto empresarial.</w:t>
      </w:r>
    </w:p>
    <w:p>
      <w:pPr>
        <w:keepNext/>
      </w:pPr>
      <w:r>
        <w:rPr>
          <w:b/>
        </w:rPr>
        <w:t xml:space="preserve">Pasos o acción práctica: </w:t>
      </w:r>
      <w:r>
        <w:t>Consultar protección antes de publicar o divulgar.</w:t>
      </w:r>
    </w:p>
    <w:p>
      <w:pPr>
        <w:keepNext/>
      </w:pPr>
      <w:r>
        <w:rPr>
          <w:b/>
        </w:rPr>
        <w:t xml:space="preserve">Errores comunes: </w:t>
      </w:r>
      <w:r>
        <w:t>Publicar primero y evaluar la patente después.</w:t>
      </w:r>
    </w:p>
    <w:p>
      <w:r>
        <w:rPr>
          <w:b/>
        </w:rPr>
        <w:t xml:space="preserve">Referencia normativa: </w:t>
      </w:r>
      <w:r>
        <w:t>D1. Art. 23.3.a).</w:t>
      </w:r>
    </w:p>
    <w:p>
      <w:pPr>
        <w:pStyle w:val="Heading3"/>
        <w:keepNext/>
      </w:pPr>
      <w:r>
        <w:t>171. ¿Qué reintegro puede generar incumplir acceso abierto o integridad?</w:t>
      </w:r>
    </w:p>
    <w:p>
      <w:pPr>
        <w:keepNext/>
      </w:pPr>
      <w:r>
        <w:rPr>
          <w:b/>
        </w:rPr>
        <w:t xml:space="preserve">Dificultad: </w:t>
      </w:r>
      <w:r>
        <w:t>Compleja</w:t>
      </w:r>
    </w:p>
    <w:p>
      <w:pPr>
        <w:keepNext/>
      </w:pPr>
      <w:r>
        <w:rPr>
          <w:b/>
        </w:rPr>
        <w:t xml:space="preserve">Respuesta: </w:t>
      </w:r>
      <w:r>
        <w:t>El incumplimiento de depósito abierto puede causar reintegro parcial de hasta el 10 % de la ayuda del proyecto. El incumplimiento de ética e integridad puede causar pérdida de cobro y reintegro total.</w:t>
      </w:r>
    </w:p>
    <w:p>
      <w:pPr>
        <w:keepNext/>
      </w:pPr>
      <w:r>
        <w:rPr>
          <w:b/>
        </w:rPr>
        <w:t xml:space="preserve">Pasos o acción práctica: </w:t>
      </w:r>
      <w:r>
        <w:t>Revisar repositorios, autorizaciones y buenas prácticas documentadas.</w:t>
      </w:r>
    </w:p>
    <w:p>
      <w:pPr>
        <w:keepNext/>
      </w:pPr>
      <w:r>
        <w:rPr>
          <w:b/>
        </w:rPr>
        <w:t xml:space="preserve">Errores comunes: </w:t>
      </w:r>
      <w:r>
        <w:t>Confundir la graduación del acceso abierto con la de integridad.</w:t>
      </w:r>
    </w:p>
    <w:p>
      <w:r>
        <w:rPr>
          <w:b/>
        </w:rPr>
        <w:t xml:space="preserve">Referencia normativa: </w:t>
      </w:r>
      <w:r>
        <w:t>D1. Art. 23.3.a) y d); art. 31.2 de las bases, por remisión.</w:t>
      </w:r>
    </w:p>
    <w:p>
      <w:pPr>
        <w:pStyle w:val="Heading3"/>
        <w:keepNext/>
      </w:pPr>
      <w:r>
        <w:t>172. ¿Debe informarse a todas las personas cuyos datos figuran en solicitud?</w:t>
      </w:r>
    </w:p>
    <w:p>
      <w:pPr>
        <w:keepNext/>
      </w:pPr>
      <w:r>
        <w:rPr>
          <w:b/>
        </w:rPr>
        <w:t xml:space="preserve">Dificultad: </w:t>
      </w:r>
      <w:r>
        <w:t>Media</w:t>
      </w:r>
    </w:p>
    <w:p>
      <w:pPr>
        <w:keepNext/>
      </w:pPr>
      <w:r>
        <w:rPr>
          <w:b/>
        </w:rPr>
        <w:t xml:space="preserve">Respuesta: </w:t>
      </w:r>
      <w:r>
        <w:t>Sí. La entidad debe proporcionar la información de protección de datos exigida por los artículos 13 y 14 del RGPD. No tiene que remitir pruebas a la AEI salvo requerimiento.</w:t>
      </w:r>
    </w:p>
    <w:p>
      <w:pPr>
        <w:keepNext/>
      </w:pPr>
      <w:r>
        <w:rPr>
          <w:b/>
        </w:rPr>
        <w:t xml:space="preserve">Pasos o acción práctica: </w:t>
      </w:r>
      <w:r>
        <w:t>Entregar información y conservar evidencia institucional.</w:t>
      </w:r>
    </w:p>
    <w:p>
      <w:pPr>
        <w:keepNext/>
      </w:pPr>
      <w:r>
        <w:rPr>
          <w:b/>
        </w:rPr>
        <w:t xml:space="preserve">Errores comunes: </w:t>
      </w:r>
      <w:r>
        <w:t>Confundir información de privacidad con pedir consentimiento como única base jurídica.</w:t>
      </w:r>
    </w:p>
    <w:p>
      <w:r>
        <w:rPr>
          <w:b/>
        </w:rPr>
        <w:t xml:space="preserve">Referencia normativa: </w:t>
      </w:r>
      <w:r>
        <w:t>D1. Art. 17.12; RGPD, arts. 13-14, por remisión.</w:t>
      </w:r>
    </w:p>
    <w:p>
      <w:pPr>
        <w:pStyle w:val="Heading3"/>
        <w:keepNext/>
      </w:pPr>
      <w:r>
        <w:t>173. ¿Quién trata los datos de la solicitud y para qué?</w:t>
      </w:r>
    </w:p>
    <w:p>
      <w:pPr>
        <w:keepNext/>
      </w:pPr>
      <w:r>
        <w:rPr>
          <w:b/>
        </w:rPr>
        <w:t xml:space="preserve">Dificultad: </w:t>
      </w:r>
      <w:r>
        <w:t>Compleja</w:t>
      </w:r>
    </w:p>
    <w:p>
      <w:pPr>
        <w:keepNext/>
      </w:pPr>
      <w:r>
        <w:rPr>
          <w:b/>
        </w:rPr>
        <w:t xml:space="preserve">Respuesta: </w:t>
      </w:r>
      <w:r>
        <w:t>La AEI gestiona el procedimiento, evaluación, control y publicidad bajo la base de misión de interés público. En tipo I existe corresponsabilidad con las agencias extranjeras identificadas.</w:t>
      </w:r>
    </w:p>
    <w:p>
      <w:pPr>
        <w:keepNext/>
      </w:pPr>
      <w:r>
        <w:rPr>
          <w:b/>
        </w:rPr>
        <w:t xml:space="preserve">Pasos o acción práctica: </w:t>
      </w:r>
      <w:r>
        <w:t>Revisar información AEI y limitar datos a los necesarios.</w:t>
      </w:r>
    </w:p>
    <w:p>
      <w:pPr>
        <w:keepNext/>
      </w:pPr>
      <w:r>
        <w:rPr>
          <w:b/>
        </w:rPr>
        <w:t xml:space="preserve">Errores comunes: </w:t>
      </w:r>
      <w:r>
        <w:t>Prometer que todos los datos permanecerán exclusivamente en la universidad.</w:t>
      </w:r>
    </w:p>
    <w:p>
      <w:r>
        <w:rPr>
          <w:b/>
        </w:rPr>
        <w:t xml:space="preserve">Referencia normativa: </w:t>
      </w:r>
      <w:r>
        <w:t>D1. Art. 17.12; anexo VIII.</w:t>
      </w:r>
    </w:p>
    <w:p>
      <w:pPr>
        <w:pStyle w:val="Heading3"/>
        <w:keepNext/>
      </w:pPr>
      <w:r>
        <w:t>174. ¿Las entrevistas y cuestionarios necesitan revisión ética?</w:t>
      </w:r>
    </w:p>
    <w:p>
      <w:pPr>
        <w:keepNext/>
      </w:pPr>
      <w:r>
        <w:rPr>
          <w:b/>
        </w:rPr>
        <w:t xml:space="preserve">Dificultad: </w:t>
      </w:r>
      <w:r>
        <w:t>Compleja</w:t>
      </w:r>
    </w:p>
    <w:p>
      <w:pPr>
        <w:keepNext/>
      </w:pPr>
      <w:r>
        <w:rPr>
          <w:b/>
        </w:rPr>
        <w:t xml:space="preserve">Respuesta: </w:t>
      </w:r>
      <w:r>
        <w:t>Los proyectos con participación directa de personas, incluidas técnicas de investigación social y colectivos vulnerables, deben contar con informe ético favorable antes de la actividad correspondiente y respetar privacidad y consentimiento informado.</w:t>
      </w:r>
    </w:p>
    <w:p>
      <w:pPr>
        <w:keepNext/>
      </w:pPr>
      <w:r>
        <w:rPr>
          <w:b/>
        </w:rPr>
        <w:t xml:space="preserve">Pasos o acción práctica: </w:t>
      </w:r>
      <w:r>
        <w:t>Solicitar evaluación antes de recoger datos.</w:t>
      </w:r>
    </w:p>
    <w:p>
      <w:pPr>
        <w:keepNext/>
      </w:pPr>
      <w:r>
        <w:rPr>
          <w:b/>
        </w:rPr>
        <w:t xml:space="preserve">Errores comunes: </w:t>
      </w:r>
      <w:r>
        <w:t>Reservar el control ético solo a investigación biomédica.</w:t>
      </w:r>
    </w:p>
    <w:p>
      <w:r>
        <w:rPr>
          <w:b/>
        </w:rPr>
        <w:t xml:space="preserve">Referencia normativa: </w:t>
      </w:r>
      <w:r>
        <w:t>D1. Anexo IV.2.i).</w:t>
      </w:r>
    </w:p>
    <w:p>
      <w:pPr>
        <w:pStyle w:val="Heading3"/>
        <w:keepNext/>
      </w:pPr>
      <w:r>
        <w:t>175. ¿Qué pasa con los microdatos de encuestas sociales?</w:t>
      </w:r>
    </w:p>
    <w:p>
      <w:pPr>
        <w:keepNext/>
      </w:pPr>
      <w:r>
        <w:rPr>
          <w:b/>
        </w:rPr>
        <w:t xml:space="preserve">Dificultad: </w:t>
      </w:r>
      <w:r>
        <w:t>Compleja</w:t>
      </w:r>
    </w:p>
    <w:p>
      <w:pPr>
        <w:keepNext/>
      </w:pPr>
      <w:r>
        <w:rPr>
          <w:b/>
        </w:rPr>
        <w:t xml:space="preserve">Respuesta: </w:t>
      </w:r>
      <w:r>
        <w:t>El anexo IV prevé transferencia al banco de datos del CIS en un máximo de doce meses desde la finalización, con las condiciones y eventual ampliación allí contempladas. Deben respetarse protección de datos y requisitos de entrega.</w:t>
      </w:r>
    </w:p>
    <w:p>
      <w:pPr>
        <w:keepNext/>
      </w:pPr>
      <w:r>
        <w:rPr>
          <w:b/>
        </w:rPr>
        <w:t xml:space="preserve">Pasos o acción práctica: </w:t>
      </w:r>
      <w:r>
        <w:t>Planificar anonimización, formatos y contacto con CIS.</w:t>
      </w:r>
    </w:p>
    <w:p>
      <w:pPr>
        <w:keepNext/>
      </w:pPr>
      <w:r>
        <w:rPr>
          <w:b/>
        </w:rPr>
        <w:t xml:space="preserve">Errores comunes: </w:t>
      </w:r>
      <w:r>
        <w:t>Aplicar únicamente el plazo general de datos FAIR e ignorar esta obligación específica.</w:t>
      </w:r>
    </w:p>
    <w:p>
      <w:r>
        <w:rPr>
          <w:b/>
        </w:rPr>
        <w:t xml:space="preserve">Referencia normativa: </w:t>
      </w:r>
      <w:r>
        <w:t>D1. Anexo IV.5.</w:t>
      </w:r>
    </w:p>
    <w:p>
      <w:pPr>
        <w:pStyle w:val="Heading2"/>
      </w:pPr>
      <w:r>
        <w:t>Evaluación, concesión y recursos</w:t>
      </w:r>
    </w:p>
    <w:p>
      <w:pPr>
        <w:pStyle w:val="Heading3"/>
        <w:keepNext/>
      </w:pPr>
      <w:r>
        <w:t>176. ¿Cuánto tiempo tiene la AEI para resolver?</w:t>
      </w:r>
    </w:p>
    <w:p>
      <w:pPr>
        <w:keepNext/>
      </w:pPr>
      <w:r>
        <w:rPr>
          <w:b/>
        </w:rPr>
        <w:t xml:space="preserve">Dificultad: </w:t>
      </w:r>
      <w:r>
        <w:t>Media</w:t>
      </w:r>
    </w:p>
    <w:p>
      <w:pPr>
        <w:keepNext/>
      </w:pPr>
      <w:r>
        <w:rPr>
          <w:b/>
        </w:rPr>
        <w:t xml:space="preserve">Respuesta: </w:t>
      </w:r>
      <w:r>
        <w:t>Seis meses desde el fin de solicitudes, con posibles suspensiones previstas, incluida evaluación hasta tres meses. El transcurso del plazo sin notificación permite entender desestimada la solicitud.</w:t>
      </w:r>
    </w:p>
    <w:p>
      <w:pPr>
        <w:keepNext/>
      </w:pPr>
      <w:r>
        <w:rPr>
          <w:b/>
        </w:rPr>
        <w:t xml:space="preserve">Pasos o acción práctica: </w:t>
      </w:r>
      <w:r>
        <w:t>Revisar suspensiones antes de calcular silencio.</w:t>
      </w:r>
    </w:p>
    <w:p>
      <w:pPr>
        <w:keepNext/>
      </w:pPr>
      <w:r>
        <w:rPr>
          <w:b/>
        </w:rPr>
        <w:t xml:space="preserve">Errores comunes: </w:t>
      </w:r>
      <w:r>
        <w:t>Sumar seis meses sin comprobar actuaciones de suspensión.</w:t>
      </w:r>
    </w:p>
    <w:p>
      <w:r>
        <w:rPr>
          <w:b/>
        </w:rPr>
        <w:t xml:space="preserve">Referencia normativa: </w:t>
      </w:r>
      <w:r>
        <w:t>D1. Art. 22.2.</w:t>
      </w:r>
    </w:p>
    <w:p>
      <w:pPr>
        <w:pStyle w:val="Heading3"/>
        <w:keepNext/>
      </w:pPr>
      <w:r>
        <w:t>177. ¿Cuándo se presentan alegaciones a la propuesta?</w:t>
      </w:r>
    </w:p>
    <w:p>
      <w:pPr>
        <w:keepNext/>
      </w:pPr>
      <w:r>
        <w:rPr>
          <w:b/>
        </w:rPr>
        <w:t xml:space="preserve">Dificultad: </w:t>
      </w:r>
      <w:r>
        <w:t>Media</w:t>
      </w:r>
    </w:p>
    <w:p>
      <w:pPr>
        <w:keepNext/>
      </w:pPr>
      <w:r>
        <w:rPr>
          <w:b/>
        </w:rPr>
        <w:t xml:space="preserve">Respuesta: </w:t>
      </w:r>
      <w:r>
        <w:t>La propuesta provisional abre diez días hábiles para aceptación, desistimiento o alegaciones. La definitiva tiene la regla específica del artículo 21.2; el silencio de aceptación no suple documentos requeridos.</w:t>
      </w:r>
    </w:p>
    <w:p>
      <w:pPr>
        <w:keepNext/>
      </w:pPr>
      <w:r>
        <w:rPr>
          <w:b/>
        </w:rPr>
        <w:t xml:space="preserve">Pasos o acción práctica: </w:t>
      </w:r>
      <w:r>
        <w:t>Leer condiciones y formalizar respuesta por Facilit@.</w:t>
      </w:r>
    </w:p>
    <w:p>
      <w:pPr>
        <w:keepNext/>
      </w:pPr>
      <w:r>
        <w:rPr>
          <w:b/>
        </w:rPr>
        <w:t xml:space="preserve">Errores comunes: </w:t>
      </w:r>
      <w:r>
        <w:t>Confundir la propuesta con una concesión firme.</w:t>
      </w:r>
    </w:p>
    <w:p>
      <w:r>
        <w:rPr>
          <w:b/>
        </w:rPr>
        <w:t xml:space="preserve">Referencia normativa: </w:t>
      </w:r>
      <w:r>
        <w:t>D1. Art. 21.1-2 y 21.7-8.</w:t>
      </w:r>
    </w:p>
    <w:p>
      <w:pPr>
        <w:pStyle w:val="Heading3"/>
        <w:keepNext/>
      </w:pPr>
      <w:r>
        <w:t>178. ¿Se puede aceptar la ayuda predoctoral y rechazar el proyecto?</w:t>
      </w:r>
    </w:p>
    <w:p>
      <w:pPr>
        <w:keepNext/>
      </w:pPr>
      <w:r>
        <w:rPr>
          <w:b/>
        </w:rPr>
        <w:t xml:space="preserve">Dificultad: </w:t>
      </w:r>
      <w:r>
        <w:t>Media</w:t>
      </w:r>
    </w:p>
    <w:p>
      <w:pPr>
        <w:keepNext/>
      </w:pPr>
      <w:r>
        <w:rPr>
          <w:b/>
        </w:rPr>
        <w:t xml:space="preserve">Respuesta: </w:t>
      </w:r>
      <w:r>
        <w:t>No. Sí puede aceptarse el proyecto y desistir de la ayuda predoctoral. Ambas decisiones deben tramitarse en los plazos y condiciones previstos.</w:t>
      </w:r>
    </w:p>
    <w:p>
      <w:pPr>
        <w:keepNext/>
      </w:pPr>
      <w:r>
        <w:rPr>
          <w:b/>
        </w:rPr>
        <w:t xml:space="preserve">Pasos o acción práctica: </w:t>
      </w:r>
      <w:r>
        <w:t>Evaluar financiación y capacidad de contratación antes de aceptar.</w:t>
      </w:r>
    </w:p>
    <w:p>
      <w:pPr>
        <w:keepNext/>
      </w:pPr>
      <w:r>
        <w:rPr>
          <w:b/>
        </w:rPr>
        <w:t xml:space="preserve">Errores comunes: </w:t>
      </w:r>
      <w:r>
        <w:t>Mantener el contrato asociado a un proyecto rechazado.</w:t>
      </w:r>
    </w:p>
    <w:p>
      <w:r>
        <w:rPr>
          <w:b/>
        </w:rPr>
        <w:t xml:space="preserve">Referencia normativa: </w:t>
      </w:r>
      <w:r>
        <w:t>D1. Art. 21.4.</w:t>
      </w:r>
    </w:p>
    <w:p>
      <w:pPr>
        <w:pStyle w:val="Heading3"/>
        <w:keepNext/>
      </w:pPr>
      <w:r>
        <w:t>179. ¿Qué recursos caben contra concesión y convocatoria?</w:t>
      </w:r>
    </w:p>
    <w:p>
      <w:pPr>
        <w:keepNext/>
      </w:pPr>
      <w:r>
        <w:rPr>
          <w:b/>
        </w:rPr>
        <w:t xml:space="preserve">Dificultad: </w:t>
      </w:r>
      <w:r>
        <w:t>Media</w:t>
      </w:r>
    </w:p>
    <w:p>
      <w:pPr>
        <w:keepNext/>
      </w:pPr>
      <w:r>
        <w:rPr>
          <w:b/>
        </w:rPr>
        <w:t xml:space="preserve">Respuesta: </w:t>
      </w:r>
      <w:r>
        <w:t>Cabe reposición potestativa en un mes o contencioso ante Audiencia Nacional en dos, conforme al régimen de cada acto. Si hay reposición, debe esperarse a resolución o silencio antes del contencioso.</w:t>
      </w:r>
    </w:p>
    <w:p>
      <w:pPr>
        <w:keepNext/>
      </w:pPr>
      <w:r>
        <w:rPr>
          <w:b/>
        </w:rPr>
        <w:t xml:space="preserve">Pasos o acción práctica: </w:t>
      </w:r>
      <w:r>
        <w:t>Identificar acto, publicación y cómputo aplicable.</w:t>
      </w:r>
    </w:p>
    <w:p>
      <w:pPr>
        <w:keepNext/>
      </w:pPr>
      <w:r>
        <w:rPr>
          <w:b/>
        </w:rPr>
        <w:t xml:space="preserve">Errores comunes: </w:t>
      </w:r>
      <w:r>
        <w:t>Aplicar el mismo inicio de cómputo sin leer cada precepto.</w:t>
      </w:r>
    </w:p>
    <w:p>
      <w:r>
        <w:rPr>
          <w:b/>
        </w:rPr>
        <w:t xml:space="preserve">Referencia normativa: </w:t>
      </w:r>
      <w:r>
        <w:t>D1. Arts. 22.3 y 32.1-2.</w:t>
      </w:r>
    </w:p>
    <w:p>
      <w:pPr>
        <w:pStyle w:val="Heading2"/>
      </w:pPr>
      <w:r>
        <w:t>Condiciones específicas y comprobaciones adicionales</w:t>
      </w:r>
    </w:p>
    <w:p>
      <w:pPr>
        <w:pStyle w:val="Heading3"/>
        <w:keepNext/>
      </w:pPr>
      <w:r>
        <w:t>180. ¿Los proyectos sobre encuestas sociales tienen un trámite previo a solicitar?</w:t>
      </w:r>
    </w:p>
    <w:p>
      <w:pPr>
        <w:keepNext/>
      </w:pPr>
      <w:r>
        <w:rPr>
          <w:b/>
        </w:rPr>
        <w:t xml:space="preserve">Dificultad: </w:t>
      </w:r>
      <w:r>
        <w:t>Compleja</w:t>
      </w:r>
    </w:p>
    <w:p>
      <w:pPr>
        <w:keepNext/>
      </w:pPr>
      <w:r>
        <w:rPr>
          <w:b/>
        </w:rPr>
        <w:t xml:space="preserve">Respuesta: </w:t>
      </w:r>
      <w:r>
        <w:t>Sí. Antes de presentar la solicitud, los IP deben enviar al CIS un Plan de Depósito Inicial con el compromiso de transferencia de microdatos. Se utilizan los modelos del CIS.</w:t>
      </w:r>
    </w:p>
    <w:p>
      <w:pPr>
        <w:keepNext/>
      </w:pPr>
      <w:r>
        <w:rPr>
          <w:b/>
        </w:rPr>
        <w:t xml:space="preserve">Pasos o acción práctica: </w:t>
      </w:r>
      <w:r>
        <w:t>Remitir el plan antes del registro y conservar constancia.</w:t>
      </w:r>
    </w:p>
    <w:p>
      <w:pPr>
        <w:keepNext/>
      </w:pPr>
      <w:r>
        <w:rPr>
          <w:b/>
        </w:rPr>
        <w:t xml:space="preserve">Errores comunes: </w:t>
      </w:r>
      <w:r>
        <w:t>Recordar el depósito solo al finalizar el proyecto.</w:t>
      </w:r>
    </w:p>
    <w:p>
      <w:r>
        <w:rPr>
          <w:b/>
        </w:rPr>
        <w:t xml:space="preserve">Referencia normativa: </w:t>
      </w:r>
      <w:r>
        <w:t>D1. Anexo IV.5.b)-c).</w:t>
      </w:r>
    </w:p>
    <w:p>
      <w:pPr>
        <w:pStyle w:val="Heading3"/>
        <w:keepNext/>
      </w:pPr>
      <w:r>
        <w:t>181. ¿Qué ámbitos cubre la iniciativa de salud de las mujeres?</w:t>
      </w:r>
    </w:p>
    <w:p>
      <w:pPr>
        <w:keepNext/>
      </w:pPr>
      <w:r>
        <w:rPr>
          <w:b/>
        </w:rPr>
        <w:t xml:space="preserve">Dificultad: </w:t>
      </w:r>
      <w:r>
        <w:t>Media</w:t>
      </w:r>
    </w:p>
    <w:p>
      <w:pPr>
        <w:keepNext/>
      </w:pPr>
      <w:r>
        <w:rPr>
          <w:b/>
        </w:rPr>
        <w:t xml:space="preserve">Respuesta: </w:t>
      </w:r>
      <w:r>
        <w:t>El anexo IX incluye enfermedades específicas o muy prevalentes, procesos fisiológicos propios y enfermedades con sesgo de género. Excluye cáncer y embarazo; no basta estudiar una muestra de mujeres para acreditar encaje.</w:t>
      </w:r>
    </w:p>
    <w:p>
      <w:pPr>
        <w:keepNext/>
      </w:pPr>
      <w:r>
        <w:rPr>
          <w:b/>
        </w:rPr>
        <w:t xml:space="preserve">Pasos o acción práctica: </w:t>
      </w:r>
      <w:r>
        <w:t>Relacionar objetivos con un ámbito admitido y declarar el encaje al pedir ayuda predoctoral.</w:t>
      </w:r>
    </w:p>
    <w:p>
      <w:pPr>
        <w:keepNext/>
      </w:pPr>
      <w:r>
        <w:rPr>
          <w:b/>
        </w:rPr>
        <w:t xml:space="preserve">Errores comunes: </w:t>
      </w:r>
      <w:r>
        <w:t>Aplicar la iniciativa indiscriminadamente a oncología o embarazo.</w:t>
      </w:r>
    </w:p>
    <w:p>
      <w:r>
        <w:rPr>
          <w:b/>
        </w:rPr>
        <w:t xml:space="preserve">Referencia normativa: </w:t>
      </w:r>
      <w:r>
        <w:t>D1. Arts. 3.2, 18.1.i) y 20.3.a).2.º; anexo IX.</w:t>
      </w:r>
    </w:p>
    <w:p>
      <w:pPr>
        <w:pStyle w:val="Heading3"/>
        <w:keepNext/>
      </w:pPr>
      <w:r>
        <w:t>182. ¿Puede un proyecto I pagar actividades ejecutadas por la entidad extranjera?</w:t>
      </w:r>
    </w:p>
    <w:p>
      <w:pPr>
        <w:keepNext/>
      </w:pPr>
      <w:r>
        <w:rPr>
          <w:b/>
        </w:rPr>
        <w:t xml:space="preserve">Dificultad: </w:t>
      </w:r>
      <w:r>
        <w:t>Compleja</w:t>
      </w:r>
    </w:p>
    <w:p>
      <w:pPr>
        <w:keepNext/>
      </w:pPr>
      <w:r>
        <w:rPr>
          <w:b/>
        </w:rPr>
        <w:t xml:space="preserve">Respuesta: </w:t>
      </w:r>
      <w:r>
        <w:t>No son financiables con la ayuda española los gastos de actividades ejecutadas por las entidades extranjeras. La memoria debe explicar cooperación y presupuesto internacional sin incorporar esos gastos como petición española.</w:t>
      </w:r>
    </w:p>
    <w:p>
      <w:pPr>
        <w:keepNext/>
      </w:pPr>
      <w:r>
        <w:rPr>
          <w:b/>
        </w:rPr>
        <w:t xml:space="preserve">Pasos o acción práctica: </w:t>
      </w:r>
      <w:r>
        <w:t>Separar presupuestos y financiación por país.</w:t>
      </w:r>
    </w:p>
    <w:p>
      <w:pPr>
        <w:keepNext/>
      </w:pPr>
      <w:r>
        <w:rPr>
          <w:b/>
        </w:rPr>
        <w:t xml:space="preserve">Errores comunes: </w:t>
      </w:r>
      <w:r>
        <w:t>Cargar al presupuesto español la ejecución del socio extranjero.</w:t>
      </w:r>
    </w:p>
    <w:p>
      <w:r>
        <w:rPr>
          <w:b/>
        </w:rPr>
        <w:t xml:space="preserve">Referencia normativa: </w:t>
      </w:r>
      <w:r>
        <w:t>D1. Arts. 11.5 y 18.1.m); anexo VII.2, presupuesto.</w:t>
      </w:r>
    </w:p>
    <w:p>
      <w:pPr>
        <w:pStyle w:val="Heading3"/>
        <w:keepNext/>
      </w:pPr>
      <w:r>
        <w:t>183. ¿Se pueden subcontratar actividades de un subproyecto no financiado?</w:t>
      </w:r>
    </w:p>
    <w:p>
      <w:pPr>
        <w:keepNext/>
      </w:pPr>
      <w:r>
        <w:rPr>
          <w:b/>
        </w:rPr>
        <w:t xml:space="preserve">Dificultad: </w:t>
      </w:r>
      <w:r>
        <w:t>Compleja</w:t>
      </w:r>
    </w:p>
    <w:p>
      <w:pPr>
        <w:keepNext/>
      </w:pPr>
      <w:r>
        <w:rPr>
          <w:b/>
        </w:rPr>
        <w:t xml:space="preserve">Respuesta: </w:t>
      </w:r>
      <w:r>
        <w:t>En coordinados B/RTA, los financiados no pueden subcontratar las tareas que la memoria asignó a los subproyectos no financiados. Sí pueden solicitar incorporar investigadores de esos subproyectos según las condiciones previstas.</w:t>
      </w:r>
    </w:p>
    <w:p>
      <w:pPr>
        <w:keepNext/>
      </w:pPr>
      <w:r>
        <w:rPr>
          <w:b/>
        </w:rPr>
        <w:t xml:space="preserve">Pasos o acción práctica: </w:t>
      </w:r>
      <w:r>
        <w:t>Revisar reparto de responsabilidades y eventual alta autorizada.</w:t>
      </w:r>
    </w:p>
    <w:p>
      <w:pPr>
        <w:keepNext/>
      </w:pPr>
      <w:r>
        <w:rPr>
          <w:b/>
        </w:rPr>
        <w:t xml:space="preserve">Errores comunes: </w:t>
      </w:r>
      <w:r>
        <w:t>Reconvertir en proveedor al subproyecto que quedó fuera.</w:t>
      </w:r>
    </w:p>
    <w:p>
      <w:r>
        <w:rPr>
          <w:b/>
        </w:rPr>
        <w:t xml:space="preserve">Referencia normativa: </w:t>
      </w:r>
      <w:r>
        <w:t>D1. Art. 10.5.f); art. 25.5.b).</w:t>
      </w:r>
    </w:p>
    <w:p>
      <w:pPr>
        <w:pStyle w:val="Heading3"/>
        <w:keepNext/>
      </w:pPr>
      <w:r>
        <w:t>184. ¿Cuándo se comunican cambios en los requisitos del personal del proyecto?</w:t>
      </w:r>
    </w:p>
    <w:p>
      <w:pPr>
        <w:keepNext/>
      </w:pPr>
      <w:r>
        <w:rPr>
          <w:b/>
        </w:rPr>
        <w:t xml:space="preserve">Dificultad: </w:t>
      </w:r>
      <w:r>
        <w:t>Compleja</w:t>
      </w:r>
    </w:p>
    <w:p>
      <w:pPr>
        <w:keepNext/>
      </w:pPr>
      <w:r>
        <w:rPr>
          <w:b/>
        </w:rPr>
        <w:t xml:space="preserve">Respuesta: </w:t>
      </w:r>
      <w:r>
        <w:t>La entidad debe verificar requisitos y comunicar sus variaciones en diez días desde que se produzca el cambio. Este deber no debe confundirse con el plazo predoctoral de renuncias e incidencias.</w:t>
      </w:r>
    </w:p>
    <w:p>
      <w:pPr>
        <w:keepNext/>
      </w:pPr>
      <w:r>
        <w:rPr>
          <w:b/>
        </w:rPr>
        <w:t xml:space="preserve">Pasos o acción práctica: </w:t>
      </w:r>
      <w:r>
        <w:t>Registrar fecha de cambio y tramitar comunicación según artículo 6.</w:t>
      </w:r>
    </w:p>
    <w:p>
      <w:pPr>
        <w:keepNext/>
      </w:pPr>
      <w:r>
        <w:rPr>
          <w:b/>
        </w:rPr>
        <w:t xml:space="preserve">Errores comunes: </w:t>
      </w:r>
      <w:r>
        <w:t>Esperar al informe intermedio para comunicar pérdida de vinculación.</w:t>
      </w:r>
    </w:p>
    <w:p>
      <w:r>
        <w:rPr>
          <w:b/>
        </w:rPr>
        <w:t xml:space="preserve">Referencia normativa: </w:t>
      </w:r>
      <w:r>
        <w:t>D1. Art. 23.3.b).</w:t>
      </w:r>
    </w:p>
    <w:p>
      <w:pPr>
        <w:pStyle w:val="Heading3"/>
        <w:keepNext/>
      </w:pPr>
      <w:r>
        <w:t>185. ¿Basta la concesión para comenzar actividades con humanos o animales?</w:t>
      </w:r>
    </w:p>
    <w:p>
      <w:pPr>
        <w:keepNext/>
      </w:pPr>
      <w:r>
        <w:rPr>
          <w:b/>
        </w:rPr>
        <w:t xml:space="preserve">Dificultad: </w:t>
      </w:r>
      <w:r>
        <w:t>Media</w:t>
      </w:r>
    </w:p>
    <w:p>
      <w:pPr>
        <w:keepNext/>
      </w:pPr>
      <w:r>
        <w:rPr>
          <w:b/>
        </w:rPr>
        <w:t xml:space="preserve">Respuesta: </w:t>
      </w:r>
      <w:r>
        <w:t>No. Las actividades deben cumplir la normativa específica y disponer de autorizaciones e informes legalmente exigibles. La concesión de ayuda no sustituye la autorización de actividad.</w:t>
      </w:r>
    </w:p>
    <w:p>
      <w:pPr>
        <w:keepNext/>
      </w:pPr>
      <w:r>
        <w:rPr>
          <w:b/>
        </w:rPr>
        <w:t xml:space="preserve">Pasos o acción práctica: </w:t>
      </w:r>
      <w:r>
        <w:t>Completar evaluación ética y permisos antes de la actividad correspondiente.</w:t>
      </w:r>
    </w:p>
    <w:p>
      <w:pPr>
        <w:keepNext/>
      </w:pPr>
      <w:r>
        <w:rPr>
          <w:b/>
        </w:rPr>
        <w:t xml:space="preserve">Errores comunes: </w:t>
      </w:r>
      <w:r>
        <w:t>Iniciar recogida de muestras o experimentación porque el proyecto está concedido.</w:t>
      </w:r>
    </w:p>
    <w:p>
      <w:r>
        <w:rPr>
          <w:b/>
        </w:rPr>
        <w:t xml:space="preserve">Referencia normativa: </w:t>
      </w:r>
      <w:r>
        <w:t>D1. Art. 4.7; anexo IV.2.a)-b), 2.f)-i) y 3.</w:t>
      </w:r>
    </w:p>
    <w:p>
      <w:pPr>
        <w:pStyle w:val="Heading3"/>
        <w:keepNext/>
      </w:pPr>
      <w:r>
        <w:t>186. ¿Qué requisitos específicos hay para recursos genéticos?</w:t>
      </w:r>
    </w:p>
    <w:p>
      <w:pPr>
        <w:keepNext/>
      </w:pPr>
      <w:r>
        <w:rPr>
          <w:b/>
        </w:rPr>
        <w:t xml:space="preserve">Dificultad: </w:t>
      </w:r>
      <w:r>
        <w:t>Compleja</w:t>
      </w:r>
    </w:p>
    <w:p>
      <w:pPr>
        <w:keepNext/>
      </w:pPr>
      <w:r>
        <w:rPr>
          <w:b/>
        </w:rPr>
        <w:t xml:space="preserve">Respuesta: </w:t>
      </w:r>
      <w:r>
        <w:t>Se exige cumplir la normativa de acceso, utilización y diligencia debida aplicable, incluidas las obligaciones del Protocolo de Nagoya. El seguimiento intermedio pide el registro de la declaración cuando proceda.</w:t>
      </w:r>
    </w:p>
    <w:p>
      <w:pPr>
        <w:keepNext/>
      </w:pPr>
      <w:r>
        <w:rPr>
          <w:b/>
        </w:rPr>
        <w:t xml:space="preserve">Pasos o acción práctica: </w:t>
      </w:r>
      <w:r>
        <w:t>Identificar origen, permisos y declaración antes del uso y seguimiento.</w:t>
      </w:r>
    </w:p>
    <w:p>
      <w:pPr>
        <w:keepNext/>
      </w:pPr>
      <w:r>
        <w:rPr>
          <w:b/>
        </w:rPr>
        <w:t xml:space="preserve">Errores comunes: </w:t>
      </w:r>
      <w:r>
        <w:t>Creer que disponer de una muestra acredita por sí solo el derecho a utilizarla.</w:t>
      </w:r>
    </w:p>
    <w:p>
      <w:r>
        <w:rPr>
          <w:b/>
        </w:rPr>
        <w:t xml:space="preserve">Referencia normativa: </w:t>
      </w:r>
      <w:r>
        <w:t>D1. Anexo IV.2.j)-k) y 7; art. 29.2.b).6.º.</w:t>
      </w:r>
    </w:p>
    <w:p>
      <w:pPr>
        <w:pStyle w:val="Heading3"/>
        <w:keepNext/>
      </w:pPr>
      <w:r>
        <w:t>187. ¿Exigen autorización las actividades con organismos modificados genéticamente?</w:t>
      </w:r>
    </w:p>
    <w:p>
      <w:pPr>
        <w:keepNext/>
      </w:pPr>
      <w:r>
        <w:rPr>
          <w:b/>
        </w:rPr>
        <w:t xml:space="preserve">Dificultad: </w:t>
      </w:r>
      <w:r>
        <w:t>Compleja</w:t>
      </w:r>
    </w:p>
    <w:p>
      <w:pPr>
        <w:keepNext/>
      </w:pPr>
      <w:r>
        <w:rPr>
          <w:b/>
        </w:rPr>
        <w:t xml:space="preserve">Respuesta: </w:t>
      </w:r>
      <w:r>
        <w:t>El centro debe cumplir la normativa y, cuando proceda, presentar autorización o comunicación previa. Las nuevas técnicas genómicas deben sujetarse al marco vigente durante ejecución, sin dar por inexistentes los requisitos.</w:t>
      </w:r>
    </w:p>
    <w:p>
      <w:pPr>
        <w:keepNext/>
      </w:pPr>
      <w:r>
        <w:rPr>
          <w:b/>
        </w:rPr>
        <w:t xml:space="preserve">Pasos o acción práctica: </w:t>
      </w:r>
      <w:r>
        <w:t>Comprobar actividad, instalaciones y trámites ante autoridad competente.</w:t>
      </w:r>
    </w:p>
    <w:p>
      <w:pPr>
        <w:keepNext/>
      </w:pPr>
      <w:r>
        <w:rPr>
          <w:b/>
        </w:rPr>
        <w:t xml:space="preserve">Errores comunes: </w:t>
      </w:r>
      <w:r>
        <w:t>Sustituir una autorización regulatoria por el apartado ético de la memoria.</w:t>
      </w:r>
    </w:p>
    <w:p>
      <w:r>
        <w:rPr>
          <w:b/>
        </w:rPr>
        <w:t xml:space="preserve">Referencia normativa: </w:t>
      </w:r>
      <w:r>
        <w:t>D1. Anexo IV.2.c)-d).</w:t>
      </w:r>
    </w:p>
    <w:p>
      <w:pPr>
        <w:pStyle w:val="Heading3"/>
        <w:keepNext/>
      </w:pPr>
      <w:r>
        <w:t>188. ¿La ayuda exime de permisos arqueológicos o ambientales?</w:t>
      </w:r>
    </w:p>
    <w:p>
      <w:pPr>
        <w:keepNext/>
      </w:pPr>
      <w:r>
        <w:rPr>
          <w:b/>
        </w:rPr>
        <w:t xml:space="preserve">Dificultad: </w:t>
      </w:r>
      <w:r>
        <w:t>Compleja</w:t>
      </w:r>
    </w:p>
    <w:p>
      <w:pPr>
        <w:keepNext/>
      </w:pPr>
      <w:r>
        <w:rPr>
          <w:b/>
        </w:rPr>
        <w:t xml:space="preserve">Respuesta: </w:t>
      </w:r>
      <w:r>
        <w:t>No. Deben obtenerse permisos de autoridades competentes y cumplirse las condiciones sectoriales, territoriales y ambientales aplicables. La convocatoria incluye reglas específicas de patrimonio, medio marino y espacios protegidos.</w:t>
      </w:r>
    </w:p>
    <w:p>
      <w:pPr>
        <w:keepNext/>
      </w:pPr>
      <w:r>
        <w:rPr>
          <w:b/>
        </w:rPr>
        <w:t xml:space="preserve">Pasos o acción práctica: </w:t>
      </w:r>
      <w:r>
        <w:t>Identificar ubicación y actividad y tramitar permisos antes de actuar.</w:t>
      </w:r>
    </w:p>
    <w:p>
      <w:pPr>
        <w:keepNext/>
      </w:pPr>
      <w:r>
        <w:rPr>
          <w:b/>
        </w:rPr>
        <w:t xml:space="preserve">Errores comunes: </w:t>
      </w:r>
      <w:r>
        <w:t>Asumir que el permiso de la universidad sustituye autorizaciones administrativas.</w:t>
      </w:r>
    </w:p>
    <w:p>
      <w:r>
        <w:rPr>
          <w:b/>
        </w:rPr>
        <w:t xml:space="preserve">Referencia normativa: </w:t>
      </w:r>
      <w:r>
        <w:t>D1. Anexo IV.2.l)-ñ), 4.l) y 6.</w:t>
      </w:r>
    </w:p>
    <w:p>
      <w:pPr>
        <w:pStyle w:val="Heading3"/>
        <w:keepNext/>
      </w:pPr>
      <w:r>
        <w:t>189. ¿Los sobrantes de un componente predoctoral pueden utilizarse libremente en otro?</w:t>
      </w:r>
    </w:p>
    <w:p>
      <w:pPr>
        <w:keepNext/>
      </w:pPr>
      <w:r>
        <w:rPr>
          <w:b/>
        </w:rPr>
        <w:t xml:space="preserve">Dificultad: </w:t>
      </w:r>
      <w:r>
        <w:t>Compleja</w:t>
      </w:r>
    </w:p>
    <w:p>
      <w:pPr>
        <w:keepNext/>
      </w:pPr>
      <w:r>
        <w:rPr>
          <w:b/>
        </w:rPr>
        <w:t xml:space="preserve">Respuesta: </w:t>
      </w:r>
      <w:r>
        <w:t>No hay en los documentos analizados una autorización general de trasvase entre contratación, indemnización y estancias/matrícula. La flexibilidad de costes directos del proyecto no se extiende automáticamente a esta ayuda.</w:t>
      </w:r>
    </w:p>
    <w:p>
      <w:pPr>
        <w:keepNext/>
      </w:pPr>
      <w:r>
        <w:rPr>
          <w:b/>
        </w:rPr>
        <w:t xml:space="preserve">Pasos o acción práctica: </w:t>
      </w:r>
      <w:r>
        <w:t>Controlar cada componente y pedir criterio AEI antes de reasignar.</w:t>
      </w:r>
    </w:p>
    <w:p>
      <w:pPr>
        <w:keepNext/>
      </w:pPr>
      <w:r>
        <w:rPr>
          <w:b/>
        </w:rPr>
        <w:t xml:space="preserve">Errores comunes: </w:t>
      </w:r>
      <w:r>
        <w:t>Cubrir salario con sobrante de matrícula por analogía con el proyecto.</w:t>
      </w:r>
    </w:p>
    <w:p>
      <w:r>
        <w:rPr>
          <w:b/>
        </w:rPr>
        <w:t xml:space="preserve">Referencia normativa: </w:t>
      </w:r>
      <w:r>
        <w:t>D1. Arts. 14.3 y 25.6; no especificado para el trasvase predoctoral.</w:t>
      </w:r>
    </w:p>
    <w:p>
      <w:pPr>
        <w:pStyle w:val="Heading3"/>
        <w:keepNext/>
      </w:pPr>
      <w:r>
        <w:t>190. ¿Se pueden incluir costes de IVA sin comprobar su recuperación?</w:t>
      </w:r>
    </w:p>
    <w:p>
      <w:pPr>
        <w:keepNext/>
      </w:pPr>
      <w:r>
        <w:rPr>
          <w:b/>
        </w:rPr>
        <w:t xml:space="preserve">Dificultad: </w:t>
      </w:r>
      <w:r>
        <w:t>Media</w:t>
      </w:r>
    </w:p>
    <w:p>
      <w:pPr>
        <w:keepNext/>
      </w:pPr>
      <w:r>
        <w:rPr>
          <w:b/>
        </w:rPr>
        <w:t xml:space="preserve">Respuesta: </w:t>
      </w:r>
      <w:r>
        <w:t>No debe presumirse su elegibilidad. No especificado en el detalle del artículo 11 analizado; suele encontrarse en las bases y las instrucciones económicas, atendiendo al carácter recuperable del impuesto.</w:t>
      </w:r>
    </w:p>
    <w:p>
      <w:pPr>
        <w:keepNext/>
      </w:pPr>
      <w:r>
        <w:rPr>
          <w:b/>
        </w:rPr>
        <w:t xml:space="preserve">Pasos o acción práctica: </w:t>
      </w:r>
      <w:r>
        <w:t>Confirmar criterio aplicable y tratamiento fiscal UVa antes de imputar.</w:t>
      </w:r>
    </w:p>
    <w:p>
      <w:pPr>
        <w:keepNext/>
      </w:pPr>
      <w:r>
        <w:rPr>
          <w:b/>
        </w:rPr>
        <w:t xml:space="preserve">Errores comunes: </w:t>
      </w:r>
      <w:r>
        <w:t>Cargar siempre el total con IVA o excluirlo siempre sin análisis.</w:t>
      </w:r>
    </w:p>
    <w:p>
      <w:r>
        <w:rPr>
          <w:b/>
        </w:rPr>
        <w:t xml:space="preserve">Referencia normativa: </w:t>
      </w:r>
      <w:r>
        <w:t>D1. Art. 11; remisión general al art. 31 de la Ley 38/2003; comprobar bases e instrucciones.</w:t>
      </w:r>
    </w:p>
    <w:p>
      <w:pPr>
        <w:pStyle w:val="Heading3"/>
        <w:keepNext/>
      </w:pPr>
      <w:r>
        <w:t>191. ¿Puede el predoctoral hacer asistencia sanitaria?</w:t>
      </w:r>
    </w:p>
    <w:p>
      <w:pPr>
        <w:keepNext/>
      </w:pPr>
      <w:r>
        <w:rPr>
          <w:b/>
        </w:rPr>
        <w:t xml:space="preserve">Dificultad: </w:t>
      </w:r>
      <w:r>
        <w:t>Media</w:t>
      </w:r>
    </w:p>
    <w:p>
      <w:pPr>
        <w:keepNext/>
      </w:pPr>
      <w:r>
        <w:rPr>
          <w:b/>
        </w:rPr>
        <w:t xml:space="preserve">Respuesta: </w:t>
      </w:r>
      <w:r>
        <w:t>Solo en las condiciones del artículo 16.4, con titulación adecuada, establecimiento elegible y convenio de colaboración. Se limita a 180 horas durante toda la ayuda y 60 anuales, sin perjudicar investigación y formación.</w:t>
      </w:r>
    </w:p>
    <w:p>
      <w:pPr>
        <w:keepNext/>
      </w:pPr>
      <w:r>
        <w:rPr>
          <w:b/>
        </w:rPr>
        <w:t xml:space="preserve">Pasos o acción práctica: </w:t>
      </w:r>
      <w:r>
        <w:t>Verificar convenio, titulación, tareas y horas acumuladas.</w:t>
      </w:r>
    </w:p>
    <w:p>
      <w:pPr>
        <w:keepNext/>
      </w:pPr>
      <w:r>
        <w:rPr>
          <w:b/>
        </w:rPr>
        <w:t xml:space="preserve">Errores comunes: </w:t>
      </w:r>
      <w:r>
        <w:t>Aplicar la posibilidad a cualquier actividad asistencial externa.</w:t>
      </w:r>
    </w:p>
    <w:p>
      <w:r>
        <w:rPr>
          <w:b/>
        </w:rPr>
        <w:t xml:space="preserve">Referencia normativa: </w:t>
      </w:r>
      <w:r>
        <w:t>D1. Art. 16.4.</w:t>
      </w:r>
    </w:p>
    <w:p>
      <w:r>
        <w:br w:type="page"/>
      </w:r>
    </w:p>
    <w:p>
      <w:pPr>
        <w:pStyle w:val="Heading1"/>
      </w:pPr>
      <w:r>
        <w:t>Casos límite y escenarios prácticos</w:t>
      </w:r>
    </w:p>
    <w:p>
      <w:pPr>
        <w:pStyle w:val="Heading2"/>
        <w:keepNext/>
      </w:pPr>
      <w:r>
        <w:t>C01. ¿Qué ocurre si un proyecto A/B termina originalmente el 31/08/2027 y se ha prorrogado?</w:t>
      </w:r>
    </w:p>
    <w:p>
      <w:pPr>
        <w:keepNext/>
      </w:pPr>
      <w:r>
        <w:rPr>
          <w:b/>
        </w:rPr>
        <w:t xml:space="preserve">Dificultad: </w:t>
      </w:r>
      <w:r>
        <w:t>Compleja</w:t>
      </w:r>
    </w:p>
    <w:p>
      <w:pPr>
        <w:keepNext/>
      </w:pPr>
      <w:r>
        <w:rPr>
          <w:b/>
        </w:rPr>
        <w:t xml:space="preserve">Respuesta: </w:t>
      </w:r>
      <w:r>
        <w:t>Para el filtro temporal de participación de A/B/RTA se atiende al final de concesión sin las prórrogas. Esa prórroga no lo convierte por sí sola en incompatible; hay que comprobar la convocatoria previa y el resto de requisitos.</w:t>
      </w:r>
    </w:p>
    <w:p>
      <w:pPr>
        <w:keepNext/>
      </w:pPr>
      <w:r>
        <w:rPr>
          <w:b/>
        </w:rPr>
        <w:t xml:space="preserve">Pasos o acción práctica: </w:t>
      </w:r>
      <w:r>
        <w:t>Revisar concesión original y anexo V.1.</w:t>
      </w:r>
    </w:p>
    <w:p>
      <w:pPr>
        <w:keepNext/>
      </w:pPr>
      <w:r>
        <w:rPr>
          <w:b/>
        </w:rPr>
        <w:t xml:space="preserve">Errores comunes: </w:t>
      </w:r>
      <w:r>
        <w:t>Usar solo la fecha prorrogada del gestor de proyectos.</w:t>
      </w:r>
    </w:p>
    <w:p>
      <w:pPr>
        <w:keepNext/>
      </w:pPr>
      <w:r>
        <w:rPr>
          <w:b/>
        </w:rPr>
        <w:t xml:space="preserve">Ejemplo práctico: </w:t>
      </w:r>
      <w:r>
        <w:t>un proyecto A/B termina originalmente el 31/08/2027 y se ha prorrogado</w:t>
      </w:r>
    </w:p>
    <w:p>
      <w:r>
        <w:rPr>
          <w:b/>
        </w:rPr>
        <w:t xml:space="preserve">Referencia normativa: </w:t>
      </w:r>
      <w:r>
        <w:t>Arts. 8.2.d).2.º y 9.1.d); anexo V.1.</w:t>
      </w:r>
    </w:p>
    <w:p>
      <w:pPr>
        <w:pStyle w:val="Heading2"/>
        <w:keepNext/>
      </w:pPr>
      <w:r>
        <w:t>C02. ¿Qué ocurre si dos subproyectos piden 60.000 y 45.000 euros directos?</w:t>
      </w:r>
    </w:p>
    <w:p>
      <w:pPr>
        <w:keepNext/>
      </w:pPr>
      <w:r>
        <w:rPr>
          <w:b/>
        </w:rPr>
        <w:t xml:space="preserve">Dificultad: </w:t>
      </w:r>
      <w:r>
        <w:t>Compleja</w:t>
      </w:r>
    </w:p>
    <w:p>
      <w:pPr>
        <w:keepNext/>
      </w:pPr>
      <w:r>
        <w:rPr>
          <w:b/>
        </w:rPr>
        <w:t xml:space="preserve">Respuesta: </w:t>
      </w:r>
      <w:r>
        <w:t>El total coordinado es 105.000 euros, por lo que la memoria común debe ir en inglés. En A/B/RTA el CVA puede ser español o inglés: la cuantía no cambia su régimen lingüístico.</w:t>
      </w:r>
    </w:p>
    <w:p>
      <w:pPr>
        <w:keepNext/>
      </w:pPr>
      <w:r>
        <w:rPr>
          <w:b/>
        </w:rPr>
        <w:t xml:space="preserve">Pasos o acción práctica: </w:t>
      </w:r>
      <w:r>
        <w:t>Revisar suma y documentos por separado.</w:t>
      </w:r>
    </w:p>
    <w:p>
      <w:pPr>
        <w:keepNext/>
      </w:pPr>
      <w:r>
        <w:rPr>
          <w:b/>
        </w:rPr>
        <w:t xml:space="preserve">Errores comunes: </w:t>
      </w:r>
      <w:r>
        <w:t>Aplicar el umbral a cada solicitud aislada.</w:t>
      </w:r>
    </w:p>
    <w:p>
      <w:pPr>
        <w:keepNext/>
      </w:pPr>
      <w:r>
        <w:rPr>
          <w:b/>
        </w:rPr>
        <w:t xml:space="preserve">Ejemplo práctico: </w:t>
      </w:r>
      <w:r>
        <w:t>dos subproyectos piden 60.000 y 45.000 euros directos</w:t>
      </w:r>
    </w:p>
    <w:p>
      <w:r>
        <w:rPr>
          <w:b/>
        </w:rPr>
        <w:t xml:space="preserve">Referencia normativa: </w:t>
      </w:r>
      <w:r>
        <w:t>Art. 18.2.a)-b).</w:t>
      </w:r>
    </w:p>
    <w:p>
      <w:pPr>
        <w:pStyle w:val="Heading2"/>
        <w:keepNext/>
      </w:pPr>
      <w:r>
        <w:t>C03. ¿Qué ocurre si la memoria inglesa obligatoria se registró en español?</w:t>
      </w:r>
    </w:p>
    <w:p>
      <w:pPr>
        <w:keepNext/>
      </w:pPr>
      <w:r>
        <w:rPr>
          <w:b/>
        </w:rPr>
        <w:t xml:space="preserve">Dificultad: </w:t>
      </w:r>
      <w:r>
        <w:t>Compleja</w:t>
      </w:r>
    </w:p>
    <w:p>
      <w:pPr>
        <w:keepNext/>
      </w:pPr>
      <w:r>
        <w:rPr>
          <w:b/>
        </w:rPr>
        <w:t xml:space="preserve">Respuesta: </w:t>
      </w:r>
      <w:r>
        <w:t>La AEI puede requerir traducción fiel y declaración responsable del IP interlocutor. La traducción no permite añadir datos ni mejorar la propuesta.</w:t>
      </w:r>
    </w:p>
    <w:p>
      <w:pPr>
        <w:keepNext/>
      </w:pPr>
      <w:r>
        <w:rPr>
          <w:b/>
        </w:rPr>
        <w:t xml:space="preserve">Pasos o acción práctica: </w:t>
      </w:r>
      <w:r>
        <w:t>Preparar equivalencia íntegra y atender requerimiento en plazo.</w:t>
      </w:r>
    </w:p>
    <w:p>
      <w:pPr>
        <w:keepNext/>
      </w:pPr>
      <w:r>
        <w:rPr>
          <w:b/>
        </w:rPr>
        <w:t xml:space="preserve">Errores comunes: </w:t>
      </w:r>
      <w:r>
        <w:t>Retocar objetivos al traducir.</w:t>
      </w:r>
    </w:p>
    <w:p>
      <w:pPr>
        <w:keepNext/>
      </w:pPr>
      <w:r>
        <w:rPr>
          <w:b/>
        </w:rPr>
        <w:t xml:space="preserve">Ejemplo práctico: </w:t>
      </w:r>
      <w:r>
        <w:t>la memoria inglesa obligatoria se registró en español</w:t>
      </w:r>
    </w:p>
    <w:p>
      <w:r>
        <w:rPr>
          <w:b/>
        </w:rPr>
        <w:t xml:space="preserve">Referencia normativa: </w:t>
      </w:r>
      <w:r>
        <w:t>Art. 19.1.</w:t>
      </w:r>
    </w:p>
    <w:p>
      <w:pPr>
        <w:pStyle w:val="Heading2"/>
        <w:keepNext/>
      </w:pPr>
      <w:r>
        <w:t>C04. ¿Qué ocurre si el proveedor ofrece un artículo de acceso abierto en una edición especial?</w:t>
      </w:r>
    </w:p>
    <w:p>
      <w:pPr>
        <w:keepNext/>
      </w:pPr>
      <w:r>
        <w:rPr>
          <w:b/>
        </w:rPr>
        <w:t xml:space="preserve">Dificultad: </w:t>
      </w:r>
      <w:r>
        <w:t>Compleja</w:t>
      </w:r>
    </w:p>
    <w:p>
      <w:pPr>
        <w:keepNext/>
      </w:pPr>
      <w:r>
        <w:rPr>
          <w:b/>
        </w:rPr>
        <w:t xml:space="preserve">Respuesta: </w:t>
      </w:r>
      <w:r>
        <w:t>La exclusión de números o separatas especiales obliga a identificar la modalidad editorial. Si no resulta clara, consultar antes de comprometer el gasto; el acceso abierto no elimina la exclusión.</w:t>
      </w:r>
    </w:p>
    <w:p>
      <w:pPr>
        <w:keepNext/>
      </w:pPr>
      <w:r>
        <w:rPr>
          <w:b/>
        </w:rPr>
        <w:t xml:space="preserve">Pasos o acción práctica: </w:t>
      </w:r>
      <w:r>
        <w:t>Recabar información editorial y criterio AEI si procede.</w:t>
      </w:r>
    </w:p>
    <w:p>
      <w:pPr>
        <w:keepNext/>
      </w:pPr>
      <w:r>
        <w:rPr>
          <w:b/>
        </w:rPr>
        <w:t xml:space="preserve">Errores comunes: </w:t>
      </w:r>
      <w:r>
        <w:t>Autorizar el APC solo por tratarse de open access.</w:t>
      </w:r>
    </w:p>
    <w:p>
      <w:pPr>
        <w:keepNext/>
      </w:pPr>
      <w:r>
        <w:rPr>
          <w:b/>
        </w:rPr>
        <w:t xml:space="preserve">Ejemplo práctico: </w:t>
      </w:r>
      <w:r>
        <w:t>el proveedor ofrece un artículo de acceso abierto en una edición especial</w:t>
      </w:r>
    </w:p>
    <w:p>
      <w:r>
        <w:rPr>
          <w:b/>
        </w:rPr>
        <w:t xml:space="preserve">Referencia normativa: </w:t>
      </w:r>
      <w:r>
        <w:t>Art. 11.3.j).</w:t>
      </w:r>
    </w:p>
    <w:p>
      <w:pPr>
        <w:pStyle w:val="Heading2"/>
        <w:keepNext/>
      </w:pPr>
      <w:r>
        <w:t>C05. ¿Qué ocurre si el predoctoral abandona en el mes 30?</w:t>
      </w:r>
    </w:p>
    <w:p>
      <w:pPr>
        <w:keepNext/>
      </w:pPr>
      <w:r>
        <w:rPr>
          <w:b/>
        </w:rPr>
        <w:t xml:space="preserve">Dificultad: </w:t>
      </w:r>
      <w:r>
        <w:t>Compleja</w:t>
      </w:r>
    </w:p>
    <w:p>
      <w:pPr>
        <w:keepNext/>
      </w:pPr>
      <w:r>
        <w:rPr>
          <w:b/>
        </w:rPr>
        <w:t xml:space="preserve">Respuesta: </w:t>
      </w:r>
      <w:r>
        <w:t>La vía de sustitución financiada del artículo 12.1 se limita a los dos primeros años. No puede presumirse una sustitución subvencionada en el mes 30; debe comunicarse extinción y calcular el remanente conforme al tiempo no ejecutado.</w:t>
      </w:r>
    </w:p>
    <w:p>
      <w:pPr>
        <w:keepNext/>
      </w:pPr>
      <w:r>
        <w:rPr>
          <w:b/>
        </w:rPr>
        <w:t xml:space="preserve">Pasos o acción práctica: </w:t>
      </w:r>
      <w:r>
        <w:t>Comunicar incidencia y liquidar ayuda según instrucción AEI.</w:t>
      </w:r>
    </w:p>
    <w:p>
      <w:pPr>
        <w:keepNext/>
      </w:pPr>
      <w:r>
        <w:rPr>
          <w:b/>
        </w:rPr>
        <w:t xml:space="preserve">Errores comunes: </w:t>
      </w:r>
      <w:r>
        <w:t>Contratar otra persona y cargarla automáticamente a la misma ayuda.</w:t>
      </w:r>
    </w:p>
    <w:p>
      <w:pPr>
        <w:keepNext/>
      </w:pPr>
      <w:r>
        <w:rPr>
          <w:b/>
        </w:rPr>
        <w:t xml:space="preserve">Ejemplo práctico: </w:t>
      </w:r>
      <w:r>
        <w:t>el predoctoral abandona en el mes 30</w:t>
      </w:r>
    </w:p>
    <w:p>
      <w:r>
        <w:rPr>
          <w:b/>
        </w:rPr>
        <w:t xml:space="preserve">Referencia normativa: </w:t>
      </w:r>
      <w:r>
        <w:t>Arts. 12.1, 23.4.g) y 28.4.</w:t>
      </w:r>
    </w:p>
    <w:p>
      <w:pPr>
        <w:pStyle w:val="Heading2"/>
        <w:keepNext/>
      </w:pPr>
      <w:r>
        <w:t>C06. ¿Qué ocurre si abandona en el mes 14 y la nueva persona llega cuatro meses después?</w:t>
      </w:r>
    </w:p>
    <w:p>
      <w:pPr>
        <w:keepNext/>
      </w:pPr>
      <w:r>
        <w:rPr>
          <w:b/>
        </w:rPr>
        <w:t xml:space="preserve">Dificultad: </w:t>
      </w:r>
      <w:r>
        <w:t>Compleja</w:t>
      </w:r>
    </w:p>
    <w:p>
      <w:pPr>
        <w:keepNext/>
      </w:pPr>
      <w:r>
        <w:rPr>
          <w:b/>
        </w:rPr>
        <w:t xml:space="preserve">Respuesta: </w:t>
      </w:r>
      <w:r>
        <w:t>El intervalo excede los tres meses admitidos. No debe considerarse financiable por la mera contratación; se debe trasladar el caso a la AEI y revisar la liquidación.</w:t>
      </w:r>
    </w:p>
    <w:p>
      <w:pPr>
        <w:keepNext/>
      </w:pPr>
      <w:r>
        <w:rPr>
          <w:b/>
        </w:rPr>
        <w:t xml:space="preserve">Pasos o acción práctica: </w:t>
      </w:r>
      <w:r>
        <w:t>Documentar extinción, selección y fechas de incorporación.</w:t>
      </w:r>
    </w:p>
    <w:p>
      <w:pPr>
        <w:keepNext/>
      </w:pPr>
      <w:r>
        <w:rPr>
          <w:b/>
        </w:rPr>
        <w:t xml:space="preserve">Errores comunes: </w:t>
      </w:r>
      <w:r>
        <w:t>Ignorar el intervalo porque ambas personas fueron seleccionadas.</w:t>
      </w:r>
    </w:p>
    <w:p>
      <w:pPr>
        <w:keepNext/>
      </w:pPr>
      <w:r>
        <w:rPr>
          <w:b/>
        </w:rPr>
        <w:t xml:space="preserve">Ejemplo práctico: </w:t>
      </w:r>
      <w:r>
        <w:t>abandona en el mes 14 y la nueva persona llega cuatro meses después</w:t>
      </w:r>
    </w:p>
    <w:p>
      <w:r>
        <w:rPr>
          <w:b/>
        </w:rPr>
        <w:t xml:space="preserve">Referencia normativa: </w:t>
      </w:r>
      <w:r>
        <w:t>Art. 12.1.</w:t>
      </w:r>
    </w:p>
    <w:p>
      <w:pPr>
        <w:pStyle w:val="Heading2"/>
        <w:keepNext/>
      </w:pPr>
      <w:r>
        <w:t>C07. ¿Qué ocurre si la tesis se defiende al cumplir tres años?</w:t>
      </w:r>
    </w:p>
    <w:p>
      <w:pPr>
        <w:keepNext/>
      </w:pPr>
      <w:r>
        <w:rPr>
          <w:b/>
        </w:rPr>
        <w:t xml:space="preserve">Dificultad: </w:t>
      </w:r>
      <w:r>
        <w:t>Compleja</w:t>
      </w:r>
    </w:p>
    <w:p>
      <w:pPr>
        <w:keepNext/>
      </w:pPr>
      <w:r>
        <w:rPr>
          <w:b/>
        </w:rPr>
        <w:t xml:space="preserve">Respuesta: </w:t>
      </w:r>
      <w:r>
        <w:t>Puede existir POP dentro del periodo máximo de la actuación, hasta doce meses y con cumplimiento del resto de requisitos. No se genera un año adicional sobre los cuatro de ayuda.</w:t>
      </w:r>
    </w:p>
    <w:p>
      <w:pPr>
        <w:keepNext/>
      </w:pPr>
      <w:r>
        <w:rPr>
          <w:b/>
        </w:rPr>
        <w:t xml:space="preserve">Pasos o acción práctica: </w:t>
      </w:r>
      <w:r>
        <w:t>Comunicar tesis en veinte días hábiles y revisar programa POP.</w:t>
      </w:r>
    </w:p>
    <w:p>
      <w:pPr>
        <w:keepNext/>
      </w:pPr>
      <w:r>
        <w:rPr>
          <w:b/>
        </w:rPr>
        <w:t xml:space="preserve">Errores comunes: </w:t>
      </w:r>
      <w:r>
        <w:t>Tramitar cinco años totales por sumar el POP.</w:t>
      </w:r>
    </w:p>
    <w:p>
      <w:pPr>
        <w:keepNext/>
      </w:pPr>
      <w:r>
        <w:rPr>
          <w:b/>
        </w:rPr>
        <w:t xml:space="preserve">Ejemplo práctico: </w:t>
      </w:r>
      <w:r>
        <w:t>la tesis se defiende al cumplir tres años</w:t>
      </w:r>
    </w:p>
    <w:p>
      <w:r>
        <w:rPr>
          <w:b/>
        </w:rPr>
        <w:t xml:space="preserve">Referencia normativa: </w:t>
      </w:r>
      <w:r>
        <w:t>Arts. 12.1 y 23.4.e).</w:t>
      </w:r>
    </w:p>
    <w:p>
      <w:pPr>
        <w:pStyle w:val="Heading2"/>
        <w:keepNext/>
      </w:pPr>
      <w:r>
        <w:t>C08. ¿Qué ocurre si falta la publicación EURAXESS pero la plaza se publicó en la UVa?</w:t>
      </w:r>
    </w:p>
    <w:p>
      <w:pPr>
        <w:keepNext/>
      </w:pPr>
      <w:r>
        <w:rPr>
          <w:b/>
        </w:rPr>
        <w:t xml:space="preserve">Dificultad: </w:t>
      </w:r>
      <w:r>
        <w:t>Compleja</w:t>
      </w:r>
    </w:p>
    <w:p>
      <w:pPr>
        <w:keepNext/>
      </w:pPr>
      <w:r>
        <w:rPr>
          <w:b/>
        </w:rPr>
        <w:t xml:space="preserve">Respuesta: </w:t>
      </w:r>
      <w:r>
        <w:t>La publicación local no sustituye la exigencia europea. Se configura un reintegro parcial del 2 %: 2.867 euros sobre la ayuda individual de 143.350 euros.</w:t>
      </w:r>
    </w:p>
    <w:p>
      <w:pPr>
        <w:keepNext/>
      </w:pPr>
      <w:r>
        <w:rPr>
          <w:b/>
        </w:rPr>
        <w:t xml:space="preserve">Pasos o acción práctica: </w:t>
      </w:r>
      <w:r>
        <w:t>Revisar evidencias y comunicar situación por la vía procedente.</w:t>
      </w:r>
    </w:p>
    <w:p>
      <w:pPr>
        <w:keepNext/>
      </w:pPr>
      <w:r>
        <w:rPr>
          <w:b/>
        </w:rPr>
        <w:t xml:space="preserve">Errores comunes: </w:t>
      </w:r>
      <w:r>
        <w:t>Considerar equivalentes las dos publicaciones.</w:t>
      </w:r>
    </w:p>
    <w:p>
      <w:pPr>
        <w:keepNext/>
      </w:pPr>
      <w:r>
        <w:rPr>
          <w:b/>
        </w:rPr>
        <w:t xml:space="preserve">Ejemplo práctico: </w:t>
      </w:r>
      <w:r>
        <w:t>falta la publicación EURAXESS pero la plaza se publicó en la UVa</w:t>
      </w:r>
    </w:p>
    <w:p>
      <w:r>
        <w:rPr>
          <w:b/>
        </w:rPr>
        <w:t xml:space="preserve">Referencia normativa: </w:t>
      </w:r>
      <w:r>
        <w:t>Arts. 12.1 y 14.3.</w:t>
      </w:r>
    </w:p>
    <w:p>
      <w:pPr>
        <w:pStyle w:val="Heading2"/>
        <w:keepNext/>
      </w:pPr>
      <w:r>
        <w:t>C09. ¿Qué ocurre si una IT ordinaria dura seis semanas?</w:t>
      </w:r>
    </w:p>
    <w:p>
      <w:pPr>
        <w:keepNext/>
      </w:pPr>
      <w:r>
        <w:rPr>
          <w:b/>
        </w:rPr>
        <w:t xml:space="preserve">Dificultad: </w:t>
      </w:r>
      <w:r>
        <w:t>Compleja</w:t>
      </w:r>
    </w:p>
    <w:p>
      <w:pPr>
        <w:keepNext/>
      </w:pPr>
      <w:r>
        <w:rPr>
          <w:b/>
        </w:rPr>
        <w:t xml:space="preserve">Respuesta: </w:t>
      </w:r>
      <w:r>
        <w:t>No alcanza los dos meses consecutivos exigidos por el régimen ordinario para solicitar prórroga financiera por IT. La interrupción laboral, el gasto elegible y la ampliación de la ayuda deben tratarse separadamente.</w:t>
      </w:r>
    </w:p>
    <w:p>
      <w:pPr>
        <w:keepNext/>
      </w:pPr>
      <w:r>
        <w:rPr>
          <w:b/>
        </w:rPr>
        <w:t xml:space="preserve">Pasos o acción práctica: </w:t>
      </w:r>
      <w:r>
        <w:t>Revisar causa, fechas y reglas de cálculo AEI.</w:t>
      </w:r>
    </w:p>
    <w:p>
      <w:pPr>
        <w:keepNext/>
      </w:pPr>
      <w:r>
        <w:rPr>
          <w:b/>
        </w:rPr>
        <w:t xml:space="preserve">Errores comunes: </w:t>
      </w:r>
      <w:r>
        <w:t>Presumir que toda interrupción contractual aumenta la ayuda.</w:t>
      </w:r>
    </w:p>
    <w:p>
      <w:pPr>
        <w:keepNext/>
      </w:pPr>
      <w:r>
        <w:rPr>
          <w:b/>
        </w:rPr>
        <w:t xml:space="preserve">Ejemplo práctico: </w:t>
      </w:r>
      <w:r>
        <w:t>una IT ordinaria dura seis semanas</w:t>
      </w:r>
    </w:p>
    <w:p>
      <w:r>
        <w:rPr>
          <w:b/>
        </w:rPr>
        <w:t xml:space="preserve">Referencia normativa: </w:t>
      </w:r>
      <w:r>
        <w:t>Arts. 13.3 y 25.7.</w:t>
      </w:r>
    </w:p>
    <w:p>
      <w:pPr>
        <w:pStyle w:val="Heading2"/>
        <w:keepNext/>
      </w:pPr>
      <w:r>
        <w:t>C10. ¿Qué ocurre si la cuota del servicio central incluye salarios propios?</w:t>
      </w:r>
    </w:p>
    <w:p>
      <w:pPr>
        <w:keepNext/>
      </w:pPr>
      <w:r>
        <w:rPr>
          <w:b/>
        </w:rPr>
        <w:t xml:space="preserve">Dificultad: </w:t>
      </w:r>
      <w:r>
        <w:t>Compleja</w:t>
      </w:r>
    </w:p>
    <w:p>
      <w:pPr>
        <w:keepNext/>
      </w:pPr>
      <w:r>
        <w:rPr>
          <w:b/>
        </w:rPr>
        <w:t xml:space="preserve">Respuesta: </w:t>
      </w:r>
      <w:r>
        <w:t>Ese componente no puede repercutirse bajo el concepto de servicios centrales. Debe revisarse la tarifa elegible y excluir también partidas financiadas por otra vía.</w:t>
      </w:r>
    </w:p>
    <w:p>
      <w:pPr>
        <w:keepNext/>
      </w:pPr>
      <w:r>
        <w:rPr>
          <w:b/>
        </w:rPr>
        <w:t xml:space="preserve">Pasos o acción práctica: </w:t>
      </w:r>
      <w:r>
        <w:t>Solicitar cálculo de costes e identificar componentes imputables.</w:t>
      </w:r>
    </w:p>
    <w:p>
      <w:pPr>
        <w:keepNext/>
      </w:pPr>
      <w:r>
        <w:rPr>
          <w:b/>
        </w:rPr>
        <w:t xml:space="preserve">Errores comunes: </w:t>
      </w:r>
      <w:r>
        <w:t>Cargar íntegramente una tarifa pública sin revisar contenido.</w:t>
      </w:r>
    </w:p>
    <w:p>
      <w:pPr>
        <w:keepNext/>
      </w:pPr>
      <w:r>
        <w:rPr>
          <w:b/>
        </w:rPr>
        <w:t xml:space="preserve">Ejemplo práctico: </w:t>
      </w:r>
      <w:r>
        <w:t>la cuota del servicio central incluye salarios propios</w:t>
      </w:r>
    </w:p>
    <w:p>
      <w:r>
        <w:rPr>
          <w:b/>
        </w:rPr>
        <w:t xml:space="preserve">Referencia normativa: </w:t>
      </w:r>
      <w:r>
        <w:t>Art. 11.3.n).</w:t>
      </w:r>
    </w:p>
    <w:p>
      <w:pPr>
        <w:pStyle w:val="Heading2"/>
        <w:keepNext/>
      </w:pPr>
      <w:r>
        <w:t>C11. ¿Qué ocurre si el socio extranjero no obtiene financiación?</w:t>
      </w:r>
    </w:p>
    <w:p>
      <w:pPr>
        <w:keepNext/>
      </w:pPr>
      <w:r>
        <w:rPr>
          <w:b/>
        </w:rPr>
        <w:t xml:space="preserve">Dificultad: </w:t>
      </w:r>
      <w:r>
        <w:t>Compleja</w:t>
      </w:r>
    </w:p>
    <w:p>
      <w:pPr>
        <w:keepNext/>
      </w:pPr>
      <w:r>
        <w:rPr>
          <w:b/>
        </w:rPr>
        <w:t xml:space="preserve">Respuesta: </w:t>
      </w:r>
      <w:r>
        <w:t>El proyecto tipo I no puede obtener la concesión española sin el informe favorable sobre financiación de la contraparte. Una buena evaluación española no elimina esa condición.</w:t>
      </w:r>
    </w:p>
    <w:p>
      <w:pPr>
        <w:keepNext/>
      </w:pPr>
      <w:r>
        <w:rPr>
          <w:b/>
        </w:rPr>
        <w:t xml:space="preserve">Pasos o acción práctica: </w:t>
      </w:r>
      <w:r>
        <w:t>Confirmar situación con contraparte y agencias.</w:t>
      </w:r>
    </w:p>
    <w:p>
      <w:pPr>
        <w:keepNext/>
      </w:pPr>
      <w:r>
        <w:rPr>
          <w:b/>
        </w:rPr>
        <w:t xml:space="preserve">Errores comunes: </w:t>
      </w:r>
      <w:r>
        <w:t>Iniciar gasto esperando que la AEI financie ambos equipos.</w:t>
      </w:r>
    </w:p>
    <w:p>
      <w:pPr>
        <w:keepNext/>
      </w:pPr>
      <w:r>
        <w:rPr>
          <w:b/>
        </w:rPr>
        <w:t xml:space="preserve">Ejemplo práctico: </w:t>
      </w:r>
      <w:r>
        <w:t>el socio extranjero no obtiene financiación</w:t>
      </w:r>
    </w:p>
    <w:p>
      <w:r>
        <w:rPr>
          <w:b/>
        </w:rPr>
        <w:t xml:space="preserve">Referencia normativa: </w:t>
      </w:r>
      <w:r>
        <w:t>Arts. 10.3.b).2.º y 21.5.</w:t>
      </w:r>
    </w:p>
    <w:p>
      <w:pPr>
        <w:pStyle w:val="Heading2"/>
        <w:keepNext/>
      </w:pPr>
      <w:r>
        <w:t>C12. ¿Qué ocurre si una factura de gasto realizado dentro del proyecto se paga dos meses después del fin?</w:t>
      </w:r>
    </w:p>
    <w:p>
      <w:pPr>
        <w:keepNext/>
      </w:pPr>
      <w:r>
        <w:rPr>
          <w:b/>
        </w:rPr>
        <w:t xml:space="preserve">Dificultad: </w:t>
      </w:r>
      <w:r>
        <w:t>Compleja</w:t>
      </w:r>
    </w:p>
    <w:p>
      <w:pPr>
        <w:keepNext/>
      </w:pPr>
      <w:r>
        <w:rPr>
          <w:b/>
        </w:rPr>
        <w:t xml:space="preserve">Respuesta: </w:t>
      </w:r>
      <w:r>
        <w:t>El pago queda dentro de la ventana general de tres meses posteriores. Debe seguir cumpliendo elegibilidad, realización durante ejecución, contratación y acreditación de gasto y pago.</w:t>
      </w:r>
    </w:p>
    <w:p>
      <w:pPr>
        <w:keepNext/>
      </w:pPr>
      <w:r>
        <w:rPr>
          <w:b/>
        </w:rPr>
        <w:t xml:space="preserve">Pasos o acción práctica: </w:t>
      </w:r>
      <w:r>
        <w:t>Conservar fechas de prestación, factura y justificante bancario.</w:t>
      </w:r>
    </w:p>
    <w:p>
      <w:pPr>
        <w:keepNext/>
      </w:pPr>
      <w:r>
        <w:rPr>
          <w:b/>
        </w:rPr>
        <w:t xml:space="preserve">Errores comunes: </w:t>
      </w:r>
      <w:r>
        <w:t>Confundir margen para pagar con margen para nuevas actividades.</w:t>
      </w:r>
    </w:p>
    <w:p>
      <w:pPr>
        <w:keepNext/>
      </w:pPr>
      <w:r>
        <w:rPr>
          <w:b/>
        </w:rPr>
        <w:t xml:space="preserve">Ejemplo práctico: </w:t>
      </w:r>
      <w:r>
        <w:t>una factura de gasto realizado dentro del proyecto se paga dos meses después del fin</w:t>
      </w:r>
    </w:p>
    <w:p>
      <w:r>
        <w:rPr>
          <w:b/>
        </w:rPr>
        <w:t xml:space="preserve">Referencia normativa: </w:t>
      </w:r>
      <w:r>
        <w:t>Art. 27.3-4.</w:t>
      </w:r>
    </w:p>
    <w:p>
      <w:r>
        <w:br w:type="page"/>
      </w:r>
    </w:p>
    <w:p>
      <w:pPr>
        <w:pStyle w:val="Heading1"/>
      </w:pPr>
      <w:r>
        <w:t>Novedades o cambios</w:t>
      </w:r>
    </w:p>
    <w:p>
      <w:r>
        <w:t>Comparación limitada a los cambios identificados expresamente por la AEI en su página de novedades y en el preámbulo de D1. No se atribuyen cifras antiguas no verificadas a la convocatoria de 2025.</w:t>
      </w:r>
    </w:p>
    <w:tbl>
      <w:tblPr>
        <w:tblStyle w:val="LightShading-Accent1"/>
        <w:tblW w:type="auto" w:w="0"/>
        <w:tblLook w:firstColumn="1" w:firstRow="1" w:lastColumn="0" w:lastRow="0" w:noHBand="0" w:noVBand="1" w:val="04A0"/>
      </w:tblPr>
      <w:tblGrid>
        <w:gridCol w:w="1928"/>
        <w:gridCol w:w="1928"/>
        <w:gridCol w:w="1928"/>
        <w:gridCol w:w="1928"/>
        <w:gridCol w:w="1928"/>
      </w:tblGrid>
      <w:tr>
        <w:trPr>
          <w:cantSplit/>
          <w:tblHeader/>
        </w:trPr>
        <w:tc>
          <w:tcPr>
            <w:tcW w:type="dxa" w:w="1928"/>
          </w:tcPr>
          <w:p>
            <w:r>
              <w:rPr>
                <w:sz w:val="18"/>
              </w:rPr>
              <w:t>Tema</w:t>
            </w:r>
          </w:p>
        </w:tc>
        <w:tc>
          <w:tcPr>
            <w:tcW w:type="dxa" w:w="1928"/>
          </w:tcPr>
          <w:p>
            <w:r>
              <w:rPr>
                <w:sz w:val="18"/>
              </w:rPr>
              <w:t>Antes</w:t>
            </w:r>
          </w:p>
        </w:tc>
        <w:tc>
          <w:tcPr>
            <w:tcW w:type="dxa" w:w="1928"/>
          </w:tcPr>
          <w:p>
            <w:r>
              <w:rPr>
                <w:sz w:val="18"/>
              </w:rPr>
              <w:t>Ahora</w:t>
            </w:r>
          </w:p>
        </w:tc>
        <w:tc>
          <w:tcPr>
            <w:tcW w:type="dxa" w:w="1928"/>
          </w:tcPr>
          <w:p>
            <w:r>
              <w:rPr>
                <w:sz w:val="18"/>
              </w:rPr>
              <w:t>Impacto</w:t>
            </w:r>
          </w:p>
        </w:tc>
        <w:tc>
          <w:tcPr>
            <w:tcW w:type="dxa" w:w="1928"/>
          </w:tcPr>
          <w:p>
            <w:r>
              <w:rPr>
                <w:sz w:val="18"/>
              </w:rPr>
              <w:t>Referencia</w:t>
            </w:r>
          </w:p>
        </w:tc>
      </w:tr>
      <w:tr>
        <w:trPr>
          <w:cantSplit/>
        </w:trPr>
        <w:tc>
          <w:tcPr>
            <w:tcW w:type="dxa" w:w="1928"/>
          </w:tcPr>
          <w:p>
            <w:r>
              <w:rPr>
                <w:sz w:val="18"/>
              </w:rPr>
              <w:t>Tipo I</w:t>
            </w:r>
          </w:p>
        </w:tc>
        <w:tc>
          <w:tcPr>
            <w:tcW w:type="dxa" w:w="1928"/>
          </w:tcPr>
          <w:p>
            <w:r>
              <w:rPr>
                <w:sz w:val="18"/>
              </w:rPr>
              <w:t>La AEI identifica su introducción en 2024 y recuperación en 2026.</w:t>
            </w:r>
          </w:p>
        </w:tc>
        <w:tc>
          <w:tcPr>
            <w:tcW w:type="dxa" w:w="1928"/>
          </w:tcPr>
          <w:p>
            <w:r>
              <w:rPr>
                <w:sz w:val="18"/>
              </w:rPr>
              <w:t>Colaboración con Polonia y Suiza mediante NCN y SNSF.</w:t>
            </w:r>
          </w:p>
        </w:tc>
        <w:tc>
          <w:tcPr>
            <w:tcW w:type="dxa" w:w="1928"/>
          </w:tcPr>
          <w:p>
            <w:r>
              <w:rPr>
                <w:sz w:val="18"/>
              </w:rPr>
              <w:t>Revisar doble financiación y elegibilidad bilateral.</w:t>
            </w:r>
          </w:p>
        </w:tc>
        <w:tc>
          <w:tcPr>
            <w:tcW w:type="dxa" w:w="1928"/>
          </w:tcPr>
          <w:p>
            <w:r>
              <w:rPr>
                <w:sz w:val="18"/>
              </w:rPr>
              <w:t>Preámbulo; arts. 10 y 21.5; anexo VIII.</w:t>
            </w:r>
          </w:p>
        </w:tc>
      </w:tr>
      <w:tr>
        <w:trPr>
          <w:cantSplit/>
        </w:trPr>
        <w:tc>
          <w:tcPr>
            <w:tcW w:type="dxa" w:w="1928"/>
          </w:tcPr>
          <w:p>
            <w:r>
              <w:rPr>
                <w:sz w:val="18"/>
              </w:rPr>
              <w:t>Salud de las mujeres</w:t>
            </w:r>
          </w:p>
        </w:tc>
        <w:tc>
          <w:tcPr>
            <w:tcW w:type="dxa" w:w="1928"/>
          </w:tcPr>
          <w:p>
            <w:r>
              <w:rPr>
                <w:sz w:val="18"/>
              </w:rPr>
              <w:t>No se aporta comparación integral del régimen previo.</w:t>
            </w:r>
          </w:p>
        </w:tc>
        <w:tc>
          <w:tcPr>
            <w:tcW w:type="dxa" w:w="1928"/>
          </w:tcPr>
          <w:p>
            <w:r>
              <w:rPr>
                <w:sz w:val="18"/>
              </w:rPr>
              <w:t>Ayudas predoctorales solicitadas en proyectos subvencionables de ámbitos del anexo IX.</w:t>
            </w:r>
          </w:p>
        </w:tc>
        <w:tc>
          <w:tcPr>
            <w:tcW w:type="dxa" w:w="1928"/>
          </w:tcPr>
          <w:p>
            <w:r>
              <w:rPr>
                <w:sz w:val="18"/>
              </w:rPr>
              <w:t>Declarar encaje; cáncer y embarazo están excluidos del anexo IX.</w:t>
            </w:r>
          </w:p>
        </w:tc>
        <w:tc>
          <w:tcPr>
            <w:tcW w:type="dxa" w:w="1928"/>
          </w:tcPr>
          <w:p>
            <w:r>
              <w:rPr>
                <w:sz w:val="18"/>
              </w:rPr>
              <w:t>Arts. 3.2, 18.1.i) y 20.3.a).2.º; anexo IX.</w:t>
            </w:r>
          </w:p>
        </w:tc>
      </w:tr>
      <w:tr>
        <w:trPr>
          <w:cantSplit/>
        </w:trPr>
        <w:tc>
          <w:tcPr>
            <w:tcW w:type="dxa" w:w="1928"/>
          </w:tcPr>
          <w:p>
            <w:r>
              <w:rPr>
                <w:sz w:val="18"/>
              </w:rPr>
              <w:t>Áreas temáticas</w:t>
            </w:r>
          </w:p>
        </w:tc>
        <w:tc>
          <w:tcPr>
            <w:tcW w:type="dxa" w:w="1928"/>
          </w:tcPr>
          <w:p>
            <w:r>
              <w:rPr>
                <w:sz w:val="18"/>
              </w:rPr>
              <w:t>La AEI anuncia cambios frente a la convocatoria anterior.</w:t>
            </w:r>
          </w:p>
        </w:tc>
        <w:tc>
          <w:tcPr>
            <w:tcW w:type="dxa" w:w="1928"/>
          </w:tcPr>
          <w:p>
            <w:r>
              <w:rPr>
                <w:sz w:val="18"/>
              </w:rPr>
              <w:t>Clasificación del anexo II de 2026.</w:t>
            </w:r>
          </w:p>
        </w:tc>
        <w:tc>
          <w:tcPr>
            <w:tcW w:type="dxa" w:w="1928"/>
          </w:tcPr>
          <w:p>
            <w:r>
              <w:rPr>
                <w:sz w:val="18"/>
              </w:rPr>
              <w:t>Revisar área y subárea; no reutilizar sin comprobación.</w:t>
            </w:r>
          </w:p>
        </w:tc>
        <w:tc>
          <w:tcPr>
            <w:tcW w:type="dxa" w:w="1928"/>
          </w:tcPr>
          <w:p>
            <w:r>
              <w:rPr>
                <w:sz w:val="18"/>
              </w:rPr>
              <w:t>Art. 18.1.b); anexo II.</w:t>
            </w:r>
          </w:p>
        </w:tc>
      </w:tr>
      <w:tr>
        <w:trPr>
          <w:cantSplit/>
        </w:trPr>
        <w:tc>
          <w:tcPr>
            <w:tcW w:type="dxa" w:w="1928"/>
          </w:tcPr>
          <w:p>
            <w:r>
              <w:rPr>
                <w:sz w:val="18"/>
              </w:rPr>
              <w:t>Evaluación</w:t>
            </w:r>
          </w:p>
        </w:tc>
        <w:tc>
          <w:tcPr>
            <w:tcW w:type="dxa" w:w="1928"/>
          </w:tcPr>
          <w:p>
            <w:r>
              <w:rPr>
                <w:sz w:val="18"/>
              </w:rPr>
              <w:t>La AEI indica variación de intervalos y encaje del presupuesto.</w:t>
            </w:r>
          </w:p>
        </w:tc>
        <w:tc>
          <w:tcPr>
            <w:tcW w:type="dxa" w:w="1928"/>
          </w:tcPr>
          <w:p>
            <w:r>
              <w:rPr>
                <w:sz w:val="18"/>
              </w:rPr>
              <w:t>Tres criterios; presupuesto integrado en viabilidad.</w:t>
            </w:r>
          </w:p>
        </w:tc>
        <w:tc>
          <w:tcPr>
            <w:tcW w:type="dxa" w:w="1928"/>
          </w:tcPr>
          <w:p>
            <w:r>
              <w:rPr>
                <w:sz w:val="18"/>
              </w:rPr>
              <w:t>Adaptar memoria a puntuaciones y umbrales vigentes.</w:t>
            </w:r>
          </w:p>
        </w:tc>
        <w:tc>
          <w:tcPr>
            <w:tcW w:type="dxa" w:w="1928"/>
          </w:tcPr>
          <w:p>
            <w:r>
              <w:rPr>
                <w:sz w:val="18"/>
              </w:rPr>
              <w:t>Anexo I; página AEI, Novedades.</w:t>
            </w:r>
          </w:p>
        </w:tc>
      </w:tr>
    </w:tbl>
    <w:p>
      <w:pPr>
        <w:pStyle w:val="Heading2"/>
      </w:pPr>
      <w:r>
        <w:t>Correcciones y matices al resumen aportado</w:t>
      </w:r>
    </w:p>
    <w:tbl>
      <w:tblPr>
        <w:tblStyle w:val="LightShading-Accent1"/>
        <w:tblW w:type="auto" w:w="0"/>
        <w:tblLook w:firstColumn="1" w:firstRow="1" w:lastColumn="0" w:lastRow="0" w:noHBand="0" w:noVBand="1" w:val="04A0"/>
      </w:tblPr>
      <w:tblGrid>
        <w:gridCol w:w="3213"/>
        <w:gridCol w:w="3213"/>
        <w:gridCol w:w="3213"/>
      </w:tblGrid>
      <w:tr>
        <w:trPr>
          <w:cantSplit/>
          <w:tblHeader/>
        </w:trPr>
        <w:tc>
          <w:tcPr>
            <w:tcW w:type="dxa" w:w="3213"/>
          </w:tcPr>
          <w:p>
            <w:r>
              <w:rPr>
                <w:sz w:val="18"/>
              </w:rPr>
              <w:t>Punto del resumen</w:t>
            </w:r>
          </w:p>
        </w:tc>
        <w:tc>
          <w:tcPr>
            <w:tcW w:type="dxa" w:w="3213"/>
          </w:tcPr>
          <w:p>
            <w:r>
              <w:rPr>
                <w:sz w:val="18"/>
              </w:rPr>
              <w:t>Regla que debe aplicarse</w:t>
            </w:r>
          </w:p>
        </w:tc>
        <w:tc>
          <w:tcPr>
            <w:tcW w:type="dxa" w:w="3213"/>
          </w:tcPr>
          <w:p>
            <w:r>
              <w:rPr>
                <w:sz w:val="18"/>
              </w:rPr>
              <w:t>Referencia</w:t>
            </w:r>
          </w:p>
        </w:tc>
      </w:tr>
      <w:tr>
        <w:trPr>
          <w:cantSplit/>
        </w:trPr>
        <w:tc>
          <w:tcPr>
            <w:tcW w:type="dxa" w:w="3213"/>
          </w:tcPr>
          <w:p>
            <w:r>
              <w:rPr>
                <w:sz w:val="18"/>
              </w:rPr>
              <w:t>CVA en inglés cuando memoria inglesa (pp. 7-8).</w:t>
            </w:r>
          </w:p>
        </w:tc>
        <w:tc>
          <w:tcPr>
            <w:tcW w:type="dxa" w:w="3213"/>
          </w:tcPr>
          <w:p>
            <w:r>
              <w:rPr>
                <w:sz w:val="18"/>
              </w:rPr>
              <w:t>Obligatorio solo en tipo I; recomendado en el resto.</w:t>
            </w:r>
          </w:p>
        </w:tc>
        <w:tc>
          <w:tcPr>
            <w:tcW w:type="dxa" w:w="3213"/>
          </w:tcPr>
          <w:p>
            <w:r>
              <w:rPr>
                <w:sz w:val="18"/>
              </w:rPr>
              <w:t>Art. 18.2.b).</w:t>
            </w:r>
          </w:p>
        </w:tc>
      </w:tr>
      <w:tr>
        <w:trPr>
          <w:cantSplit/>
        </w:trPr>
        <w:tc>
          <w:tcPr>
            <w:tcW w:type="dxa" w:w="3213"/>
          </w:tcPr>
          <w:p>
            <w:r>
              <w:rPr>
                <w:sz w:val="18"/>
              </w:rPr>
              <w:t>Documentación esencial no subsanable (pp. 7-8).</w:t>
            </w:r>
          </w:p>
        </w:tc>
        <w:tc>
          <w:tcPr>
            <w:tcW w:type="dxa" w:w="3213"/>
          </w:tcPr>
          <w:p>
            <w:r>
              <w:rPr>
                <w:sz w:val="18"/>
              </w:rPr>
              <w:t>No puede mejorarse el contenido; se admite traducción fiel requerida para corregir idioma.</w:t>
            </w:r>
          </w:p>
        </w:tc>
        <w:tc>
          <w:tcPr>
            <w:tcW w:type="dxa" w:w="3213"/>
          </w:tcPr>
          <w:p>
            <w:r>
              <w:rPr>
                <w:sz w:val="18"/>
              </w:rPr>
              <w:t>Arts. 18.4 y 19.1.</w:t>
            </w:r>
          </w:p>
        </w:tc>
      </w:tr>
      <w:tr>
        <w:trPr>
          <w:cantSplit/>
        </w:trPr>
        <w:tc>
          <w:tcPr>
            <w:tcW w:type="dxa" w:w="3213"/>
          </w:tcPr>
          <w:p>
            <w:r>
              <w:rPr>
                <w:sz w:val="18"/>
              </w:rPr>
              <w:t>Proyecto I incompatible con cualquier proyecto en curso del anexo V (p. 5).</w:t>
            </w:r>
          </w:p>
        </w:tc>
        <w:tc>
          <w:tcPr>
            <w:tcW w:type="dxa" w:w="3213"/>
          </w:tcPr>
          <w:p>
            <w:r>
              <w:rPr>
                <w:sz w:val="18"/>
              </w:rPr>
              <w:t>Debe usarse la lista propia del apartado 2 y el régimen específico de participación.</w:t>
            </w:r>
          </w:p>
        </w:tc>
        <w:tc>
          <w:tcPr>
            <w:tcW w:type="dxa" w:w="3213"/>
          </w:tcPr>
          <w:p>
            <w:r>
              <w:rPr>
                <w:sz w:val="18"/>
              </w:rPr>
              <w:t>Arts. 8.2.d) y 9.1.d); anexo V.2.</w:t>
            </w:r>
          </w:p>
        </w:tc>
      </w:tr>
      <w:tr>
        <w:trPr>
          <w:cantSplit/>
        </w:trPr>
        <w:tc>
          <w:tcPr>
            <w:tcW w:type="dxa" w:w="3213"/>
          </w:tcPr>
          <w:p>
            <w:r>
              <w:rPr>
                <w:sz w:val="18"/>
              </w:rPr>
              <w:t>Equipo de trabajo como alternativa general al EI (pp. 5-6).</w:t>
            </w:r>
          </w:p>
        </w:tc>
        <w:tc>
          <w:tcPr>
            <w:tcW w:type="dxa" w:w="3213"/>
          </w:tcPr>
          <w:p>
            <w:r>
              <w:rPr>
                <w:sz w:val="18"/>
              </w:rPr>
              <w:t>No admite personas incompatibles ni cualquier participante que reúna las condiciones del EI; se aplican las restricciones expresas.</w:t>
            </w:r>
          </w:p>
        </w:tc>
        <w:tc>
          <w:tcPr>
            <w:tcW w:type="dxa" w:w="3213"/>
          </w:tcPr>
          <w:p>
            <w:r>
              <w:rPr>
                <w:sz w:val="18"/>
              </w:rPr>
              <w:t>Art. 9.3.</w:t>
            </w:r>
          </w:p>
        </w:tc>
      </w:tr>
      <w:tr>
        <w:trPr>
          <w:cantSplit/>
        </w:trPr>
        <w:tc>
          <w:tcPr>
            <w:tcW w:type="dxa" w:w="3213"/>
          </w:tcPr>
          <w:p>
            <w:r>
              <w:rPr>
                <w:sz w:val="18"/>
              </w:rPr>
              <w:t>Movilidad de un mes/tres meses con excepción solo para campañas (p. 6).</w:t>
            </w:r>
          </w:p>
        </w:tc>
        <w:tc>
          <w:tcPr>
            <w:tcW w:type="dxa" w:w="3213"/>
          </w:tcPr>
          <w:p>
            <w:r>
              <w:rPr>
                <w:sz w:val="18"/>
              </w:rPr>
              <w:t>Existen también estancias de investigación bajo el régimen específico.</w:t>
            </w:r>
          </w:p>
        </w:tc>
        <w:tc>
          <w:tcPr>
            <w:tcW w:type="dxa" w:w="3213"/>
          </w:tcPr>
          <w:p>
            <w:r>
              <w:rPr>
                <w:sz w:val="18"/>
              </w:rPr>
              <w:t>Art. 11.3.b).3.º.</w:t>
            </w:r>
          </w:p>
        </w:tc>
      </w:tr>
      <w:tr>
        <w:trPr>
          <w:cantSplit/>
        </w:trPr>
        <w:tc>
          <w:tcPr>
            <w:tcW w:type="dxa" w:w="3213"/>
          </w:tcPr>
          <w:p>
            <w:r>
              <w:rPr>
                <w:sz w:val="18"/>
              </w:rPr>
              <w:t>Subcontratación limitada al 25 % (p. 7).</w:t>
            </w:r>
          </w:p>
        </w:tc>
        <w:tc>
          <w:tcPr>
            <w:tcW w:type="dxa" w:w="3213"/>
          </w:tcPr>
          <w:p>
            <w:r>
              <w:rPr>
                <w:sz w:val="18"/>
              </w:rPr>
              <w:t>Es el máximo general; se permite incremento motivado autorizado dentro de bases.</w:t>
            </w:r>
          </w:p>
        </w:tc>
        <w:tc>
          <w:tcPr>
            <w:tcW w:type="dxa" w:w="3213"/>
          </w:tcPr>
          <w:p>
            <w:r>
              <w:rPr>
                <w:sz w:val="18"/>
              </w:rPr>
              <w:t>Arts. 11.3.q) y 25.5.a).</w:t>
            </w:r>
          </w:p>
        </w:tc>
      </w:tr>
      <w:tr>
        <w:trPr>
          <w:cantSplit/>
        </w:trPr>
        <w:tc>
          <w:tcPr>
            <w:tcW w:type="dxa" w:w="3213"/>
          </w:tcPr>
          <w:p>
            <w:r>
              <w:rPr>
                <w:sz w:val="18"/>
              </w:rPr>
              <w:t>Servicios centrales con tarifas de costes (p. 7).</w:t>
            </w:r>
          </w:p>
        </w:tc>
        <w:tc>
          <w:tcPr>
            <w:tcW w:type="dxa" w:w="3213"/>
          </w:tcPr>
          <w:p>
            <w:r>
              <w:rPr>
                <w:sz w:val="18"/>
              </w:rPr>
              <w:t>Además, tarifas públicas, exclusión de salarios propios y de componentes ya financiados.</w:t>
            </w:r>
          </w:p>
        </w:tc>
        <w:tc>
          <w:tcPr>
            <w:tcW w:type="dxa" w:w="3213"/>
          </w:tcPr>
          <w:p>
            <w:r>
              <w:rPr>
                <w:sz w:val="18"/>
              </w:rPr>
              <w:t>Art. 11.3.n).</w:t>
            </w:r>
          </w:p>
        </w:tc>
      </w:tr>
      <w:tr>
        <w:trPr>
          <w:cantSplit/>
        </w:trPr>
        <w:tc>
          <w:tcPr>
            <w:tcW w:type="dxa" w:w="3213"/>
          </w:tcPr>
          <w:p>
            <w:r>
              <w:rPr>
                <w:sz w:val="18"/>
              </w:rPr>
              <w:t>Facilit@ como aplicación inicial (p. 7).</w:t>
            </w:r>
          </w:p>
        </w:tc>
        <w:tc>
          <w:tcPr>
            <w:tcW w:type="dxa" w:w="3213"/>
          </w:tcPr>
          <w:p>
            <w:r>
              <w:rPr>
                <w:sz w:val="18"/>
              </w:rPr>
              <w:t>Se distinguen aplicaciones de solicitud/firma, Facilit@ y Justifica.</w:t>
            </w:r>
          </w:p>
        </w:tc>
        <w:tc>
          <w:tcPr>
            <w:tcW w:type="dxa" w:w="3213"/>
          </w:tcPr>
          <w:p>
            <w:r>
              <w:rPr>
                <w:sz w:val="18"/>
              </w:rPr>
              <w:t>Arts. 6.6, 17.5 y 26.1.</w:t>
            </w:r>
          </w:p>
        </w:tc>
      </w:tr>
      <w:tr>
        <w:trPr>
          <w:cantSplit/>
        </w:trPr>
        <w:tc>
          <w:tcPr>
            <w:tcW w:type="dxa" w:w="3213"/>
          </w:tcPr>
          <w:p>
            <w:r>
              <w:rPr>
                <w:sz w:val="18"/>
              </w:rPr>
              <w:t>Prioridad en predoctorales de salud de las mujeres (p. 3).</w:t>
            </w:r>
          </w:p>
        </w:tc>
        <w:tc>
          <w:tcPr>
            <w:tcW w:type="dxa" w:w="3213"/>
          </w:tcPr>
          <w:p>
            <w:r>
              <w:rPr>
                <w:sz w:val="18"/>
              </w:rPr>
              <w:t>La convocatoria prevé financiación de los solicitados en proyectos subvencionables de ámbitos definidos; el anexo IX excluye cáncer y embarazo.</w:t>
            </w:r>
          </w:p>
        </w:tc>
        <w:tc>
          <w:tcPr>
            <w:tcW w:type="dxa" w:w="3213"/>
          </w:tcPr>
          <w:p>
            <w:r>
              <w:rPr>
                <w:sz w:val="18"/>
              </w:rPr>
              <w:t>Arts. 3.2 y 20.3.a).2.º; anexo IX.</w:t>
            </w:r>
          </w:p>
        </w:tc>
      </w:tr>
    </w:tbl>
    <w:p>
      <w:r>
        <w:br w:type="page"/>
      </w:r>
    </w:p>
    <w:p>
      <w:pPr>
        <w:pStyle w:val="Heading1"/>
      </w:pPr>
      <w:r>
        <w:t>Checklist de requisitos de forma</w:t>
      </w:r>
    </w:p>
    <w:p>
      <w:pPr>
        <w:pStyle w:val="Heading2"/>
      </w:pPr>
      <w:r>
        <w:t>Registro y firma</w:t>
      </w:r>
    </w:p>
    <w:p>
      <w:r>
        <w:t>☐ IP y representante inscritos en RUS; entidad y representación verificadas en SISEN (arts. 6.7-9 y 17.2-4).</w:t>
      </w:r>
    </w:p>
    <w:p>
      <w:r>
        <w:t>☐ Documento de solicitud con firmas de participantes bajo custodia institucional (art. 17.7).</w:t>
      </w:r>
    </w:p>
    <w:p>
      <w:r>
        <w:t>☐ Firma y registro de la representación legal antes del 24/11/2026 a las 14:00; conservar recibo (art. 17.1 y 17.10).</w:t>
      </w:r>
    </w:p>
    <w:p>
      <w:pPr>
        <w:pStyle w:val="Heading2"/>
      </w:pPr>
      <w:r>
        <w:t>Subsanación</w:t>
      </w:r>
    </w:p>
    <w:p>
      <w:r>
        <w:t>☐ Controlar diez días hábiles del requerimiento y respuesta por Facilit@ (art. 19.1).</w:t>
      </w:r>
    </w:p>
    <w:p>
      <w:r>
        <w:t>☐ No ampliar contenido de memoria o CVA; si procede, traducción fiel y declaración responsable del IP (arts. 18.4 y 19.1).</w:t>
      </w:r>
    </w:p>
    <w:p>
      <w:pPr>
        <w:pStyle w:val="Heading2"/>
      </w:pPr>
      <w:r>
        <w:t>Representación y apoderamiento</w:t>
      </w:r>
    </w:p>
    <w:p>
      <w:r>
        <w:t>☐ Verificar acreditación vigente y certificado admitido en @firma (arts. 6.9 y 17.3).</w:t>
      </w:r>
    </w:p>
    <w:p>
      <w:r>
        <w:t>☐ Custodiar autorización de participación y vinculación de otras entidades cuando proceda (art. 8.2.b).</w:t>
      </w:r>
    </w:p>
    <w:p>
      <w:pPr>
        <w:pStyle w:val="Heading2"/>
      </w:pPr>
      <w:r>
        <w:t>Formatos admitidos</w:t>
      </w:r>
    </w:p>
    <w:p>
      <w:r>
        <w:t>☐ PDF y tamaño máximo conforme al artículo 6.2 y a las condiciones de la aplicación.</w:t>
      </w:r>
    </w:p>
    <w:p>
      <w:r>
        <w:t>☐ Memoria: 20/25/35 páginas; CVA: cuatro y modelo AEI o CVA-AEI FECYT (art. 18.2).</w:t>
      </w:r>
    </w:p>
    <w:p>
      <w:r>
        <w:t>☐ Revisar idioma de memoria, CVA y documentación internacional por separado (art. 18).</w:t>
      </w:r>
    </w:p>
    <w:p>
      <w:pPr>
        <w:pStyle w:val="Heading2"/>
      </w:pPr>
      <w:r>
        <w:t>Sellos de tiempo</w:t>
      </w:r>
    </w:p>
    <w:p>
      <w:r>
        <w:t>☐ Usar la fecha y hora del justificante de registro electrónico como evidencia de presentación (arts. 6.9 y 17.10).</w:t>
      </w:r>
    </w:p>
    <w:p>
      <w:r>
        <w:t>☐ No especificado: la convocatoria no impone un sellado de tiempo adicional contratado por la entidad. Suele encontrarse el detalle de evidencia electrónica en la ayuda del registro o de firma AEI.</w:t>
      </w:r>
    </w:p>
    <w:p>
      <w:pPr>
        <w:pStyle w:val="Heading2"/>
      </w:pPr>
      <w:r>
        <w:t>Otros requisitos documentales</w:t>
      </w:r>
    </w:p>
    <w:p>
      <w:r>
        <w:t>☐ Revisar incompatibilidades, datos, ORCID, responsabilidades, presupuesto y petición predoctoral (arts. 8-9 y 18).</w:t>
      </w:r>
    </w:p>
    <w:p>
      <w:r>
        <w:t>☐ Documentar interrupciones del tipo A y campañas cuando proceda (art. 18.3).</w:t>
      </w:r>
    </w:p>
    <w:p>
      <w:r>
        <w:t>☐ Comprobar declaraciones institucionales, privacidad e integridad (art. 17.9 y 17.12).</w:t>
      </w:r>
    </w:p>
    <w:p>
      <w:r>
        <w:br w:type="page"/>
      </w:r>
    </w:p>
    <w:p>
      <w:pPr>
        <w:pStyle w:val="Heading2"/>
      </w:pPr>
      <w:r>
        <w:t>Calendario de seguimiento para registrar en el expediente</w:t>
      </w:r>
    </w:p>
    <w:tbl>
      <w:tblPr>
        <w:tblStyle w:val="LightShading-Accent1"/>
        <w:tblW w:type="auto" w:w="0"/>
        <w:tblLook w:firstColumn="1" w:firstRow="1" w:lastColumn="0" w:lastRow="0" w:noHBand="0" w:noVBand="1" w:val="04A0"/>
      </w:tblPr>
      <w:tblGrid>
        <w:gridCol w:w="3213"/>
        <w:gridCol w:w="3213"/>
        <w:gridCol w:w="3213"/>
      </w:tblGrid>
      <w:tr>
        <w:trPr>
          <w:cantSplit/>
          <w:tblHeader/>
        </w:trPr>
        <w:tc>
          <w:tcPr>
            <w:tcW w:type="dxa" w:w="3213"/>
          </w:tcPr>
          <w:p>
            <w:r>
              <w:rPr>
                <w:sz w:val="18"/>
              </w:rPr>
              <w:t>Trámite</w:t>
            </w:r>
          </w:p>
        </w:tc>
        <w:tc>
          <w:tcPr>
            <w:tcW w:type="dxa" w:w="3213"/>
          </w:tcPr>
          <w:p>
            <w:r>
              <w:rPr>
                <w:sz w:val="18"/>
              </w:rPr>
              <w:t>Plazo de referencia</w:t>
            </w:r>
          </w:p>
        </w:tc>
        <w:tc>
          <w:tcPr>
            <w:tcW w:type="dxa" w:w="3213"/>
          </w:tcPr>
          <w:p>
            <w:r>
              <w:rPr>
                <w:sz w:val="18"/>
              </w:rPr>
              <w:t>Fuente</w:t>
            </w:r>
          </w:p>
        </w:tc>
      </w:tr>
      <w:tr>
        <w:trPr>
          <w:cantSplit/>
        </w:trPr>
        <w:tc>
          <w:tcPr>
            <w:tcW w:type="dxa" w:w="3213"/>
          </w:tcPr>
          <w:p>
            <w:r>
              <w:rPr>
                <w:sz w:val="18"/>
              </w:rPr>
              <w:t>Modificación de concesión del proyecto</w:t>
            </w:r>
          </w:p>
        </w:tc>
        <w:tc>
          <w:tcPr>
            <w:tcW w:type="dxa" w:w="3213"/>
          </w:tcPr>
          <w:p>
            <w:r>
              <w:rPr>
                <w:sz w:val="18"/>
              </w:rPr>
              <w:t>Al menos dos meses antes del final.</w:t>
            </w:r>
          </w:p>
        </w:tc>
        <w:tc>
          <w:tcPr>
            <w:tcW w:type="dxa" w:w="3213"/>
          </w:tcPr>
          <w:p>
            <w:r>
              <w:rPr>
                <w:sz w:val="18"/>
              </w:rPr>
              <w:t>Art. 25.3.a).</w:t>
            </w:r>
          </w:p>
        </w:tc>
      </w:tr>
      <w:tr>
        <w:trPr>
          <w:cantSplit/>
        </w:trPr>
        <w:tc>
          <w:tcPr>
            <w:tcW w:type="dxa" w:w="3213"/>
          </w:tcPr>
          <w:p>
            <w:r>
              <w:rPr>
                <w:sz w:val="18"/>
              </w:rPr>
              <w:t>Informe intermedio del proyecto, 3/4 años</w:t>
            </w:r>
          </w:p>
        </w:tc>
        <w:tc>
          <w:tcPr>
            <w:tcW w:type="dxa" w:w="3213"/>
          </w:tcPr>
          <w:p>
            <w:r>
              <w:rPr>
                <w:sz w:val="18"/>
              </w:rPr>
              <w:t>Tres meses tras mitad de ejecución.</w:t>
            </w:r>
          </w:p>
        </w:tc>
        <w:tc>
          <w:tcPr>
            <w:tcW w:type="dxa" w:w="3213"/>
          </w:tcPr>
          <w:p>
            <w:r>
              <w:rPr>
                <w:sz w:val="18"/>
              </w:rPr>
              <w:t>Art. 29.2.a).1.º.</w:t>
            </w:r>
          </w:p>
        </w:tc>
      </w:tr>
      <w:tr>
        <w:trPr>
          <w:cantSplit/>
        </w:trPr>
        <w:tc>
          <w:tcPr>
            <w:tcW w:type="dxa" w:w="3213"/>
          </w:tcPr>
          <w:p>
            <w:r>
              <w:rPr>
                <w:sz w:val="18"/>
              </w:rPr>
              <w:t>Informe final del proyecto</w:t>
            </w:r>
          </w:p>
        </w:tc>
        <w:tc>
          <w:tcPr>
            <w:tcW w:type="dxa" w:w="3213"/>
          </w:tcPr>
          <w:p>
            <w:r>
              <w:rPr>
                <w:sz w:val="18"/>
              </w:rPr>
              <w:t>Tres meses tras fin.</w:t>
            </w:r>
          </w:p>
        </w:tc>
        <w:tc>
          <w:tcPr>
            <w:tcW w:type="dxa" w:w="3213"/>
          </w:tcPr>
          <w:p>
            <w:r>
              <w:rPr>
                <w:sz w:val="18"/>
              </w:rPr>
              <w:t>Art. 29.2.a).2.º.</w:t>
            </w:r>
          </w:p>
        </w:tc>
      </w:tr>
      <w:tr>
        <w:trPr>
          <w:cantSplit/>
        </w:trPr>
        <w:tc>
          <w:tcPr>
            <w:tcW w:type="dxa" w:w="3213"/>
          </w:tcPr>
          <w:p>
            <w:r>
              <w:rPr>
                <w:sz w:val="18"/>
              </w:rPr>
              <w:t>Memoria económica del proyecto</w:t>
            </w:r>
          </w:p>
        </w:tc>
        <w:tc>
          <w:tcPr>
            <w:tcW w:type="dxa" w:w="3213"/>
          </w:tcPr>
          <w:p>
            <w:r>
              <w:rPr>
                <w:sz w:val="18"/>
              </w:rPr>
              <w:t>1 enero-31 marzo del año posterior al fin, salvo plazo exigido distinto.</w:t>
            </w:r>
          </w:p>
        </w:tc>
        <w:tc>
          <w:tcPr>
            <w:tcW w:type="dxa" w:w="3213"/>
          </w:tcPr>
          <w:p>
            <w:r>
              <w:rPr>
                <w:sz w:val="18"/>
              </w:rPr>
              <w:t>Art. 27.2.</w:t>
            </w:r>
          </w:p>
        </w:tc>
      </w:tr>
      <w:tr>
        <w:trPr>
          <w:cantSplit/>
        </w:trPr>
        <w:tc>
          <w:tcPr>
            <w:tcW w:type="dxa" w:w="3213"/>
          </w:tcPr>
          <w:p>
            <w:r>
              <w:rPr>
                <w:sz w:val="18"/>
              </w:rPr>
              <w:t>Pago de gastos realizados durante proyecto</w:t>
            </w:r>
          </w:p>
        </w:tc>
        <w:tc>
          <w:tcPr>
            <w:tcW w:type="dxa" w:w="3213"/>
          </w:tcPr>
          <w:p>
            <w:r>
              <w:rPr>
                <w:sz w:val="18"/>
              </w:rPr>
              <w:t>Hasta tres meses después del final.</w:t>
            </w:r>
          </w:p>
        </w:tc>
        <w:tc>
          <w:tcPr>
            <w:tcW w:type="dxa" w:w="3213"/>
          </w:tcPr>
          <w:p>
            <w:r>
              <w:rPr>
                <w:sz w:val="18"/>
              </w:rPr>
              <w:t>Art. 27.3.</w:t>
            </w:r>
          </w:p>
        </w:tc>
      </w:tr>
      <w:tr>
        <w:trPr>
          <w:cantSplit/>
        </w:trPr>
        <w:tc>
          <w:tcPr>
            <w:tcW w:type="dxa" w:w="3213"/>
          </w:tcPr>
          <w:p>
            <w:r>
              <w:rPr>
                <w:sz w:val="18"/>
              </w:rPr>
              <w:t>Alta predoctoral y expediente</w:t>
            </w:r>
          </w:p>
        </w:tc>
        <w:tc>
          <w:tcPr>
            <w:tcW w:type="dxa" w:w="3213"/>
          </w:tcPr>
          <w:p>
            <w:r>
              <w:rPr>
                <w:sz w:val="18"/>
              </w:rPr>
              <w:t>Veinte días hábiles desde incorporación.</w:t>
            </w:r>
          </w:p>
        </w:tc>
        <w:tc>
          <w:tcPr>
            <w:tcW w:type="dxa" w:w="3213"/>
          </w:tcPr>
          <w:p>
            <w:r>
              <w:rPr>
                <w:sz w:val="18"/>
              </w:rPr>
              <w:t>Art. 23.4.a).</w:t>
            </w:r>
          </w:p>
        </w:tc>
      </w:tr>
      <w:tr>
        <w:trPr>
          <w:cantSplit/>
        </w:trPr>
        <w:tc>
          <w:tcPr>
            <w:tcW w:type="dxa" w:w="3213"/>
          </w:tcPr>
          <w:p>
            <w:r>
              <w:rPr>
                <w:sz w:val="18"/>
              </w:rPr>
              <w:t>Tesis</w:t>
            </w:r>
          </w:p>
        </w:tc>
        <w:tc>
          <w:tcPr>
            <w:tcW w:type="dxa" w:w="3213"/>
          </w:tcPr>
          <w:p>
            <w:r>
              <w:rPr>
                <w:sz w:val="18"/>
              </w:rPr>
              <w:t>Veinte días hábiles desde defensa/aprobación, en los supuestos exigidos.</w:t>
            </w:r>
          </w:p>
        </w:tc>
        <w:tc>
          <w:tcPr>
            <w:tcW w:type="dxa" w:w="3213"/>
          </w:tcPr>
          <w:p>
            <w:r>
              <w:rPr>
                <w:sz w:val="18"/>
              </w:rPr>
              <w:t>Art. 23.4.e).</w:t>
            </w:r>
          </w:p>
        </w:tc>
      </w:tr>
      <w:tr>
        <w:trPr>
          <w:cantSplit/>
        </w:trPr>
        <w:tc>
          <w:tcPr>
            <w:tcW w:type="dxa" w:w="3213"/>
          </w:tcPr>
          <w:p>
            <w:r>
              <w:rPr>
                <w:sz w:val="18"/>
              </w:rPr>
              <w:t>Incidencias o petición interrupción/prórroga predoctoral</w:t>
            </w:r>
          </w:p>
        </w:tc>
        <w:tc>
          <w:tcPr>
            <w:tcW w:type="dxa" w:w="3213"/>
          </w:tcPr>
          <w:p>
            <w:r>
              <w:rPr>
                <w:sz w:val="18"/>
              </w:rPr>
              <w:t>Dos meses desde el hecho, durante ejecución; revisar excepciones.</w:t>
            </w:r>
          </w:p>
        </w:tc>
        <w:tc>
          <w:tcPr>
            <w:tcW w:type="dxa" w:w="3213"/>
          </w:tcPr>
          <w:p>
            <w:r>
              <w:rPr>
                <w:sz w:val="18"/>
              </w:rPr>
              <w:t>Arts. 23.4.g) y 25.7.</w:t>
            </w:r>
          </w:p>
        </w:tc>
      </w:tr>
      <w:tr>
        <w:trPr>
          <w:cantSplit/>
        </w:trPr>
        <w:tc>
          <w:tcPr>
            <w:tcW w:type="dxa" w:w="3213"/>
          </w:tcPr>
          <w:p>
            <w:r>
              <w:rPr>
                <w:sz w:val="18"/>
              </w:rPr>
              <w:t>Memoria económica predoctoral</w:t>
            </w:r>
          </w:p>
        </w:tc>
        <w:tc>
          <w:tcPr>
            <w:tcW w:type="dxa" w:w="3213"/>
          </w:tcPr>
          <w:p>
            <w:r>
              <w:rPr>
                <w:sz w:val="18"/>
              </w:rPr>
              <w:t>Tres meses desde el día siguiente al fin de cada anualidad.</w:t>
            </w:r>
          </w:p>
        </w:tc>
        <w:tc>
          <w:tcPr>
            <w:tcW w:type="dxa" w:w="3213"/>
          </w:tcPr>
          <w:p>
            <w:r>
              <w:rPr>
                <w:sz w:val="18"/>
              </w:rPr>
              <w:t>Art. 28.2.</w:t>
            </w:r>
          </w:p>
        </w:tc>
      </w:tr>
      <w:tr>
        <w:trPr>
          <w:cantSplit/>
        </w:trPr>
        <w:tc>
          <w:tcPr>
            <w:tcW w:type="dxa" w:w="3213"/>
          </w:tcPr>
          <w:p>
            <w:r>
              <w:rPr>
                <w:sz w:val="18"/>
              </w:rPr>
              <w:t>Informe predoctoral intermedio / final</w:t>
            </w:r>
          </w:p>
        </w:tc>
        <w:tc>
          <w:tcPr>
            <w:tcW w:type="dxa" w:w="3213"/>
          </w:tcPr>
          <w:p>
            <w:r>
              <w:rPr>
                <w:sz w:val="18"/>
              </w:rPr>
              <w:t>Meses 23-24 / mes siguiente al fin.</w:t>
            </w:r>
          </w:p>
        </w:tc>
        <w:tc>
          <w:tcPr>
            <w:tcW w:type="dxa" w:w="3213"/>
          </w:tcPr>
          <w:p>
            <w:r>
              <w:rPr>
                <w:sz w:val="18"/>
              </w:rPr>
              <w:t>Art. 30.2.</w:t>
            </w:r>
          </w:p>
        </w:tc>
      </w:tr>
    </w:tbl>
    <w:p>
      <w:r>
        <w:br w:type="page"/>
      </w:r>
    </w:p>
    <w:p>
      <w:pPr>
        <w:pStyle w:val="Heading1"/>
      </w:pPr>
      <w:r>
        <w:t>Glosario y acrónimos</w:t>
      </w:r>
    </w:p>
    <w:tbl>
      <w:tblPr>
        <w:tblStyle w:val="LightShading-Accent1"/>
        <w:tblW w:type="auto" w:w="0"/>
        <w:tblLook w:firstColumn="1" w:firstRow="1" w:lastColumn="0" w:lastRow="0" w:noHBand="0" w:noVBand="1" w:val="04A0"/>
      </w:tblPr>
      <w:tblGrid>
        <w:gridCol w:w="3213"/>
        <w:gridCol w:w="3213"/>
        <w:gridCol w:w="3213"/>
      </w:tblGrid>
      <w:tr>
        <w:trPr>
          <w:cantSplit/>
          <w:tblHeader/>
        </w:trPr>
        <w:tc>
          <w:tcPr>
            <w:tcW w:type="dxa" w:w="3213"/>
          </w:tcPr>
          <w:p>
            <w:r>
              <w:rPr>
                <w:sz w:val="18"/>
              </w:rPr>
              <w:t>Término</w:t>
            </w:r>
          </w:p>
        </w:tc>
        <w:tc>
          <w:tcPr>
            <w:tcW w:type="dxa" w:w="3213"/>
          </w:tcPr>
          <w:p>
            <w:r>
              <w:rPr>
                <w:sz w:val="18"/>
              </w:rPr>
              <w:t>Definición</w:t>
            </w:r>
          </w:p>
        </w:tc>
        <w:tc>
          <w:tcPr>
            <w:tcW w:type="dxa" w:w="3213"/>
          </w:tcPr>
          <w:p>
            <w:r>
              <w:rPr>
                <w:sz w:val="18"/>
              </w:rPr>
              <w:t>Dónde aparece</w:t>
            </w:r>
          </w:p>
        </w:tc>
      </w:tr>
      <w:tr>
        <w:trPr>
          <w:cantSplit/>
        </w:trPr>
        <w:tc>
          <w:tcPr>
            <w:tcW w:type="dxa" w:w="3213"/>
          </w:tcPr>
          <w:p>
            <w:r>
              <w:rPr>
                <w:sz w:val="18"/>
              </w:rPr>
              <w:t>AEI</w:t>
            </w:r>
          </w:p>
        </w:tc>
        <w:tc>
          <w:tcPr>
            <w:tcW w:type="dxa" w:w="3213"/>
          </w:tcPr>
          <w:p>
            <w:r>
              <w:rPr>
                <w:sz w:val="18"/>
              </w:rPr>
              <w:t>Agencia Estatal de Investigación.</w:t>
            </w:r>
          </w:p>
        </w:tc>
        <w:tc>
          <w:tcPr>
            <w:tcW w:type="dxa" w:w="3213"/>
          </w:tcPr>
          <w:p>
            <w:r>
              <w:rPr>
                <w:sz w:val="18"/>
              </w:rPr>
              <w:t>Arts. 5-6.</w:t>
            </w:r>
          </w:p>
        </w:tc>
      </w:tr>
      <w:tr>
        <w:trPr>
          <w:cantSplit/>
        </w:trPr>
        <w:tc>
          <w:tcPr>
            <w:tcW w:type="dxa" w:w="3213"/>
          </w:tcPr>
          <w:p>
            <w:r>
              <w:rPr>
                <w:sz w:val="18"/>
              </w:rPr>
              <w:t>MICIU</w:t>
            </w:r>
          </w:p>
        </w:tc>
        <w:tc>
          <w:tcPr>
            <w:tcW w:type="dxa" w:w="3213"/>
          </w:tcPr>
          <w:p>
            <w:r>
              <w:rPr>
                <w:sz w:val="18"/>
              </w:rPr>
              <w:t>Ministerio de Ciencia, Innovación y Universidades.</w:t>
            </w:r>
          </w:p>
        </w:tc>
        <w:tc>
          <w:tcPr>
            <w:tcW w:type="dxa" w:w="3213"/>
          </w:tcPr>
          <w:p>
            <w:r>
              <w:rPr>
                <w:sz w:val="18"/>
              </w:rPr>
              <w:t>Arts. 11.3 y 23.5.</w:t>
            </w:r>
          </w:p>
        </w:tc>
      </w:tr>
      <w:tr>
        <w:trPr>
          <w:cantSplit/>
        </w:trPr>
        <w:tc>
          <w:tcPr>
            <w:tcW w:type="dxa" w:w="3213"/>
          </w:tcPr>
          <w:p>
            <w:r>
              <w:rPr>
                <w:sz w:val="18"/>
              </w:rPr>
              <w:t>BDNS</w:t>
            </w:r>
          </w:p>
        </w:tc>
        <w:tc>
          <w:tcPr>
            <w:tcW w:type="dxa" w:w="3213"/>
          </w:tcPr>
          <w:p>
            <w:r>
              <w:rPr>
                <w:sz w:val="18"/>
              </w:rPr>
              <w:t>Base de Datos Nacional de Subvenciones; convocatoria 918664.</w:t>
            </w:r>
          </w:p>
        </w:tc>
        <w:tc>
          <w:tcPr>
            <w:tcW w:type="dxa" w:w="3213"/>
          </w:tcPr>
          <w:p>
            <w:r>
              <w:rPr>
                <w:sz w:val="18"/>
              </w:rPr>
              <w:t>Extracto; art. 15.5.</w:t>
            </w:r>
          </w:p>
        </w:tc>
      </w:tr>
      <w:tr>
        <w:trPr>
          <w:cantSplit/>
        </w:trPr>
        <w:tc>
          <w:tcPr>
            <w:tcW w:type="dxa" w:w="3213"/>
          </w:tcPr>
          <w:p>
            <w:r>
              <w:rPr>
                <w:sz w:val="18"/>
              </w:rPr>
              <w:t>IP</w:t>
            </w:r>
          </w:p>
        </w:tc>
        <w:tc>
          <w:tcPr>
            <w:tcW w:type="dxa" w:w="3213"/>
          </w:tcPr>
          <w:p>
            <w:r>
              <w:rPr>
                <w:sz w:val="18"/>
              </w:rPr>
              <w:t>Investigador o investigadora principal.</w:t>
            </w:r>
          </w:p>
        </w:tc>
        <w:tc>
          <w:tcPr>
            <w:tcW w:type="dxa" w:w="3213"/>
          </w:tcPr>
          <w:p>
            <w:r>
              <w:rPr>
                <w:sz w:val="18"/>
              </w:rPr>
              <w:t>Art. 8.</w:t>
            </w:r>
          </w:p>
        </w:tc>
      </w:tr>
      <w:tr>
        <w:trPr>
          <w:cantSplit/>
        </w:trPr>
        <w:tc>
          <w:tcPr>
            <w:tcW w:type="dxa" w:w="3213"/>
          </w:tcPr>
          <w:p>
            <w:r>
              <w:rPr>
                <w:sz w:val="18"/>
              </w:rPr>
              <w:t>EI / ET</w:t>
            </w:r>
          </w:p>
        </w:tc>
        <w:tc>
          <w:tcPr>
            <w:tcW w:type="dxa" w:w="3213"/>
          </w:tcPr>
          <w:p>
            <w:r>
              <w:rPr>
                <w:sz w:val="18"/>
              </w:rPr>
              <w:t>Equipo de investigación / equipo de trabajo, con condiciones distintas.</w:t>
            </w:r>
          </w:p>
        </w:tc>
        <w:tc>
          <w:tcPr>
            <w:tcW w:type="dxa" w:w="3213"/>
          </w:tcPr>
          <w:p>
            <w:r>
              <w:rPr>
                <w:sz w:val="18"/>
              </w:rPr>
              <w:t>Art. 9.</w:t>
            </w:r>
          </w:p>
        </w:tc>
      </w:tr>
      <w:tr>
        <w:trPr>
          <w:cantSplit/>
        </w:trPr>
        <w:tc>
          <w:tcPr>
            <w:tcW w:type="dxa" w:w="3213"/>
          </w:tcPr>
          <w:p>
            <w:r>
              <w:rPr>
                <w:sz w:val="18"/>
              </w:rPr>
              <w:t>RUS</w:t>
            </w:r>
          </w:p>
        </w:tc>
        <w:tc>
          <w:tcPr>
            <w:tcW w:type="dxa" w:w="3213"/>
          </w:tcPr>
          <w:p>
            <w:r>
              <w:rPr>
                <w:sz w:val="18"/>
              </w:rPr>
              <w:t>Registro Unificado de Solicitantes.</w:t>
            </w:r>
          </w:p>
        </w:tc>
        <w:tc>
          <w:tcPr>
            <w:tcW w:type="dxa" w:w="3213"/>
          </w:tcPr>
          <w:p>
            <w:r>
              <w:rPr>
                <w:sz w:val="18"/>
              </w:rPr>
              <w:t>Arts. 6.7 y 17.2.</w:t>
            </w:r>
          </w:p>
        </w:tc>
      </w:tr>
      <w:tr>
        <w:trPr>
          <w:cantSplit/>
        </w:trPr>
        <w:tc>
          <w:tcPr>
            <w:tcW w:type="dxa" w:w="3213"/>
          </w:tcPr>
          <w:p>
            <w:r>
              <w:rPr>
                <w:sz w:val="18"/>
              </w:rPr>
              <w:t>SISEN</w:t>
            </w:r>
          </w:p>
        </w:tc>
        <w:tc>
          <w:tcPr>
            <w:tcW w:type="dxa" w:w="3213"/>
          </w:tcPr>
          <w:p>
            <w:r>
              <w:rPr>
                <w:sz w:val="18"/>
              </w:rPr>
              <w:t>Sistema de Entidades y acreditación de representación.</w:t>
            </w:r>
          </w:p>
        </w:tc>
        <w:tc>
          <w:tcPr>
            <w:tcW w:type="dxa" w:w="3213"/>
          </w:tcPr>
          <w:p>
            <w:r>
              <w:rPr>
                <w:sz w:val="18"/>
              </w:rPr>
              <w:t>Art. 17.3-4.</w:t>
            </w:r>
          </w:p>
        </w:tc>
      </w:tr>
      <w:tr>
        <w:trPr>
          <w:cantSplit/>
        </w:trPr>
        <w:tc>
          <w:tcPr>
            <w:tcW w:type="dxa" w:w="3213"/>
          </w:tcPr>
          <w:p>
            <w:r>
              <w:rPr>
                <w:sz w:val="18"/>
              </w:rPr>
              <w:t>Facilit@</w:t>
            </w:r>
          </w:p>
        </w:tc>
        <w:tc>
          <w:tcPr>
            <w:tcW w:type="dxa" w:w="3213"/>
          </w:tcPr>
          <w:p>
            <w:r>
              <w:rPr>
                <w:sz w:val="18"/>
              </w:rPr>
              <w:t>Carpeta de expedientes y trámites electrónicos.</w:t>
            </w:r>
          </w:p>
        </w:tc>
        <w:tc>
          <w:tcPr>
            <w:tcW w:type="dxa" w:w="3213"/>
          </w:tcPr>
          <w:p>
            <w:r>
              <w:rPr>
                <w:sz w:val="18"/>
              </w:rPr>
              <w:t>Art. 6.5-6.</w:t>
            </w:r>
          </w:p>
        </w:tc>
      </w:tr>
      <w:tr>
        <w:trPr>
          <w:cantSplit/>
        </w:trPr>
        <w:tc>
          <w:tcPr>
            <w:tcW w:type="dxa" w:w="3213"/>
          </w:tcPr>
          <w:p>
            <w:r>
              <w:rPr>
                <w:sz w:val="18"/>
              </w:rPr>
              <w:t>Justifica</w:t>
            </w:r>
          </w:p>
        </w:tc>
        <w:tc>
          <w:tcPr>
            <w:tcW w:type="dxa" w:w="3213"/>
          </w:tcPr>
          <w:p>
            <w:r>
              <w:rPr>
                <w:sz w:val="18"/>
              </w:rPr>
              <w:t>Aplicación para la justificación telemática.</w:t>
            </w:r>
          </w:p>
        </w:tc>
        <w:tc>
          <w:tcPr>
            <w:tcW w:type="dxa" w:w="3213"/>
          </w:tcPr>
          <w:p>
            <w:r>
              <w:rPr>
                <w:sz w:val="18"/>
              </w:rPr>
              <w:t>Arts. 6.6 y 26.1.</w:t>
            </w:r>
          </w:p>
        </w:tc>
      </w:tr>
      <w:tr>
        <w:trPr>
          <w:cantSplit/>
        </w:trPr>
        <w:tc>
          <w:tcPr>
            <w:tcW w:type="dxa" w:w="3213"/>
          </w:tcPr>
          <w:p>
            <w:r>
              <w:rPr>
                <w:sz w:val="18"/>
              </w:rPr>
              <w:t>CVA</w:t>
            </w:r>
          </w:p>
        </w:tc>
        <w:tc>
          <w:tcPr>
            <w:tcW w:type="dxa" w:w="3213"/>
          </w:tcPr>
          <w:p>
            <w:r>
              <w:rPr>
                <w:sz w:val="18"/>
              </w:rPr>
              <w:t>Currículo abreviado con máximo de cuatro páginas.</w:t>
            </w:r>
          </w:p>
        </w:tc>
        <w:tc>
          <w:tcPr>
            <w:tcW w:type="dxa" w:w="3213"/>
          </w:tcPr>
          <w:p>
            <w:r>
              <w:rPr>
                <w:sz w:val="18"/>
              </w:rPr>
              <w:t>Art. 18.2.b).</w:t>
            </w:r>
          </w:p>
        </w:tc>
      </w:tr>
      <w:tr>
        <w:trPr>
          <w:cantSplit/>
        </w:trPr>
        <w:tc>
          <w:tcPr>
            <w:tcW w:type="dxa" w:w="3213"/>
          </w:tcPr>
          <w:p>
            <w:r>
              <w:rPr>
                <w:sz w:val="18"/>
              </w:rPr>
              <w:t>ORCID</w:t>
            </w:r>
          </w:p>
        </w:tc>
        <w:tc>
          <w:tcPr>
            <w:tcW w:type="dxa" w:w="3213"/>
          </w:tcPr>
          <w:p>
            <w:r>
              <w:rPr>
                <w:sz w:val="18"/>
              </w:rPr>
              <w:t>Identificador persistente de investigadores.</w:t>
            </w:r>
          </w:p>
        </w:tc>
        <w:tc>
          <w:tcPr>
            <w:tcW w:type="dxa" w:w="3213"/>
          </w:tcPr>
          <w:p>
            <w:r>
              <w:rPr>
                <w:sz w:val="18"/>
              </w:rPr>
              <w:t>Art. 18.1.f)-h).</w:t>
            </w:r>
          </w:p>
        </w:tc>
      </w:tr>
      <w:tr>
        <w:trPr>
          <w:cantSplit/>
        </w:trPr>
        <w:tc>
          <w:tcPr>
            <w:tcW w:type="dxa" w:w="3213"/>
          </w:tcPr>
          <w:p>
            <w:r>
              <w:rPr>
                <w:sz w:val="18"/>
              </w:rPr>
              <w:t>POP</w:t>
            </w:r>
          </w:p>
        </w:tc>
        <w:tc>
          <w:tcPr>
            <w:tcW w:type="dxa" w:w="3213"/>
          </w:tcPr>
          <w:p>
            <w:r>
              <w:rPr>
                <w:sz w:val="18"/>
              </w:rPr>
              <w:t>Periodo de orientación postdoctoral dentro de la actuación.</w:t>
            </w:r>
          </w:p>
        </w:tc>
        <w:tc>
          <w:tcPr>
            <w:tcW w:type="dxa" w:w="3213"/>
          </w:tcPr>
          <w:p>
            <w:r>
              <w:rPr>
                <w:sz w:val="18"/>
              </w:rPr>
              <w:t>Arts. 3.1 y 12.1.</w:t>
            </w:r>
          </w:p>
        </w:tc>
      </w:tr>
      <w:tr>
        <w:trPr>
          <w:cantSplit/>
        </w:trPr>
        <w:tc>
          <w:tcPr>
            <w:tcW w:type="dxa" w:w="3213"/>
          </w:tcPr>
          <w:p>
            <w:r>
              <w:rPr>
                <w:sz w:val="18"/>
              </w:rPr>
              <w:t>EPIF</w:t>
            </w:r>
          </w:p>
        </w:tc>
        <w:tc>
          <w:tcPr>
            <w:tcW w:type="dxa" w:w="3213"/>
          </w:tcPr>
          <w:p>
            <w:r>
              <w:rPr>
                <w:sz w:val="18"/>
              </w:rPr>
              <w:t>Estatuto del personal investigador predoctoral en formación.</w:t>
            </w:r>
          </w:p>
        </w:tc>
        <w:tc>
          <w:tcPr>
            <w:tcW w:type="dxa" w:w="3213"/>
          </w:tcPr>
          <w:p>
            <w:r>
              <w:rPr>
                <w:sz w:val="18"/>
              </w:rPr>
              <w:t>RD 103/2019; arts. 4 y 12.</w:t>
            </w:r>
          </w:p>
        </w:tc>
      </w:tr>
      <w:tr>
        <w:trPr>
          <w:cantSplit/>
        </w:trPr>
        <w:tc>
          <w:tcPr>
            <w:tcW w:type="dxa" w:w="3213"/>
          </w:tcPr>
          <w:p>
            <w:r>
              <w:rPr>
                <w:sz w:val="18"/>
              </w:rPr>
              <w:t>EURAXESS</w:t>
            </w:r>
          </w:p>
        </w:tc>
        <w:tc>
          <w:tcPr>
            <w:tcW w:type="dxa" w:w="3213"/>
          </w:tcPr>
          <w:p>
            <w:r>
              <w:rPr>
                <w:sz w:val="18"/>
              </w:rPr>
              <w:t>Portal europeo donde debe publicarse la selección predoctoral.</w:t>
            </w:r>
          </w:p>
        </w:tc>
        <w:tc>
          <w:tcPr>
            <w:tcW w:type="dxa" w:w="3213"/>
          </w:tcPr>
          <w:p>
            <w:r>
              <w:rPr>
                <w:sz w:val="18"/>
              </w:rPr>
              <w:t>Art. 12.1.</w:t>
            </w:r>
          </w:p>
        </w:tc>
      </w:tr>
      <w:tr>
        <w:trPr>
          <w:cantSplit/>
        </w:trPr>
        <w:tc>
          <w:tcPr>
            <w:tcW w:type="dxa" w:w="3213"/>
          </w:tcPr>
          <w:p>
            <w:r>
              <w:rPr>
                <w:sz w:val="18"/>
              </w:rPr>
              <w:t>ICTS</w:t>
            </w:r>
          </w:p>
        </w:tc>
        <w:tc>
          <w:tcPr>
            <w:tcW w:type="dxa" w:w="3213"/>
          </w:tcPr>
          <w:p>
            <w:r>
              <w:rPr>
                <w:sz w:val="18"/>
              </w:rPr>
              <w:t>Infraestructuras Científicas y Técnicas Singulares.</w:t>
            </w:r>
          </w:p>
        </w:tc>
        <w:tc>
          <w:tcPr>
            <w:tcW w:type="dxa" w:w="3213"/>
          </w:tcPr>
          <w:p>
            <w:r>
              <w:rPr>
                <w:sz w:val="18"/>
              </w:rPr>
              <w:t>Art. 11.3.ñ).</w:t>
            </w:r>
          </w:p>
        </w:tc>
      </w:tr>
      <w:tr>
        <w:trPr>
          <w:cantSplit/>
        </w:trPr>
        <w:tc>
          <w:tcPr>
            <w:tcW w:type="dxa" w:w="3213"/>
          </w:tcPr>
          <w:p>
            <w:r>
              <w:rPr>
                <w:sz w:val="18"/>
              </w:rPr>
              <w:t>FAIR</w:t>
            </w:r>
          </w:p>
        </w:tc>
        <w:tc>
          <w:tcPr>
            <w:tcW w:type="dxa" w:w="3213"/>
          </w:tcPr>
          <w:p>
            <w:r>
              <w:rPr>
                <w:sz w:val="18"/>
              </w:rPr>
              <w:t>Principios de localización, acceso, interoperabilidad y reutilización de datos.</w:t>
            </w:r>
          </w:p>
        </w:tc>
        <w:tc>
          <w:tcPr>
            <w:tcW w:type="dxa" w:w="3213"/>
          </w:tcPr>
          <w:p>
            <w:r>
              <w:rPr>
                <w:sz w:val="18"/>
              </w:rPr>
              <w:t>Art. 23.3.a).</w:t>
            </w:r>
          </w:p>
        </w:tc>
      </w:tr>
      <w:tr>
        <w:trPr>
          <w:cantSplit/>
        </w:trPr>
        <w:tc>
          <w:tcPr>
            <w:tcW w:type="dxa" w:w="3213"/>
          </w:tcPr>
          <w:p>
            <w:r>
              <w:rPr>
                <w:sz w:val="18"/>
              </w:rPr>
              <w:t>NCN / SNSF</w:t>
            </w:r>
          </w:p>
        </w:tc>
        <w:tc>
          <w:tcPr>
            <w:tcW w:type="dxa" w:w="3213"/>
          </w:tcPr>
          <w:p>
            <w:r>
              <w:rPr>
                <w:sz w:val="18"/>
              </w:rPr>
              <w:t>Agencias financiadoras de Polonia y Suiza para tipo I.</w:t>
            </w:r>
          </w:p>
        </w:tc>
        <w:tc>
          <w:tcPr>
            <w:tcW w:type="dxa" w:w="3213"/>
          </w:tcPr>
          <w:p>
            <w:r>
              <w:rPr>
                <w:sz w:val="18"/>
              </w:rPr>
              <w:t>Anexo VIII.</w:t>
            </w:r>
          </w:p>
        </w:tc>
      </w:tr>
      <w:tr>
        <w:trPr>
          <w:cantSplit/>
        </w:trPr>
        <w:tc>
          <w:tcPr>
            <w:tcW w:type="dxa" w:w="3213"/>
          </w:tcPr>
          <w:p>
            <w:r>
              <w:rPr>
                <w:sz w:val="18"/>
              </w:rPr>
              <w:t>LGS</w:t>
            </w:r>
          </w:p>
        </w:tc>
        <w:tc>
          <w:tcPr>
            <w:tcW w:type="dxa" w:w="3213"/>
          </w:tcPr>
          <w:p>
            <w:r>
              <w:rPr>
                <w:sz w:val="18"/>
              </w:rPr>
              <w:t>Ley 38/2003, General de Subvenciones.</w:t>
            </w:r>
          </w:p>
        </w:tc>
        <w:tc>
          <w:tcPr>
            <w:tcW w:type="dxa" w:w="3213"/>
          </w:tcPr>
          <w:p>
            <w:r>
              <w:rPr>
                <w:sz w:val="18"/>
              </w:rPr>
              <w:t>Art. 4.3.a).</w:t>
            </w:r>
          </w:p>
        </w:tc>
      </w:tr>
      <w:tr>
        <w:trPr>
          <w:cantSplit/>
        </w:trPr>
        <w:tc>
          <w:tcPr>
            <w:tcW w:type="dxa" w:w="3213"/>
          </w:tcPr>
          <w:p>
            <w:r>
              <w:rPr>
                <w:sz w:val="18"/>
              </w:rPr>
              <w:t>LCSP</w:t>
            </w:r>
          </w:p>
        </w:tc>
        <w:tc>
          <w:tcPr>
            <w:tcW w:type="dxa" w:w="3213"/>
          </w:tcPr>
          <w:p>
            <w:r>
              <w:rPr>
                <w:sz w:val="18"/>
              </w:rPr>
              <w:t>Ley 9/2017, de Contratos del Sector Público.</w:t>
            </w:r>
          </w:p>
        </w:tc>
        <w:tc>
          <w:tcPr>
            <w:tcW w:type="dxa" w:w="3213"/>
          </w:tcPr>
          <w:p>
            <w:r>
              <w:rPr>
                <w:sz w:val="18"/>
              </w:rPr>
              <w:t>Art. 11.6.</w:t>
            </w:r>
          </w:p>
        </w:tc>
      </w:tr>
      <w:tr>
        <w:trPr>
          <w:cantSplit/>
        </w:trPr>
        <w:tc>
          <w:tcPr>
            <w:tcW w:type="dxa" w:w="3213"/>
          </w:tcPr>
          <w:p>
            <w:r>
              <w:rPr>
                <w:sz w:val="18"/>
              </w:rPr>
              <w:t>CIS</w:t>
            </w:r>
          </w:p>
        </w:tc>
        <w:tc>
          <w:tcPr>
            <w:tcW w:type="dxa" w:w="3213"/>
          </w:tcPr>
          <w:p>
            <w:r>
              <w:rPr>
                <w:sz w:val="18"/>
              </w:rPr>
              <w:t>Centro de Investigaciones Sociológicas; depósito específico de microdatos.</w:t>
            </w:r>
          </w:p>
        </w:tc>
        <w:tc>
          <w:tcPr>
            <w:tcW w:type="dxa" w:w="3213"/>
          </w:tcPr>
          <w:p>
            <w:r>
              <w:rPr>
                <w:sz w:val="18"/>
              </w:rPr>
              <w:t>Anexo IV.5.</w:t>
            </w:r>
          </w:p>
        </w:tc>
      </w:tr>
      <w:tr>
        <w:trPr>
          <w:cantSplit/>
        </w:trPr>
        <w:tc>
          <w:tcPr>
            <w:tcW w:type="dxa" w:w="3213"/>
          </w:tcPr>
          <w:p>
            <w:r>
              <w:rPr>
                <w:sz w:val="18"/>
              </w:rPr>
              <w:t>COCSABO</w:t>
            </w:r>
          </w:p>
        </w:tc>
        <w:tc>
          <w:tcPr>
            <w:tcW w:type="dxa" w:w="3213"/>
          </w:tcPr>
          <w:p>
            <w:r>
              <w:rPr>
                <w:sz w:val="18"/>
              </w:rPr>
              <w:t>Comisión de coordinación y seguimiento de actividades de buques oceanográficos.</w:t>
            </w:r>
          </w:p>
        </w:tc>
        <w:tc>
          <w:tcPr>
            <w:tcW w:type="dxa" w:w="3213"/>
          </w:tcPr>
          <w:p>
            <w:r>
              <w:rPr>
                <w:sz w:val="18"/>
              </w:rPr>
              <w:t>Art. 11.3.b); anexo IV.4.</w:t>
            </w:r>
          </w:p>
        </w:tc>
      </w:tr>
    </w:tbl>
    <w:p>
      <w:r>
        <w:br w:type="page"/>
      </w:r>
    </w:p>
    <w:p>
      <w:pPr>
        <w:pStyle w:val="Heading1"/>
      </w:pPr>
      <w:r>
        <w:t>Calidad y confianza del análisis</w:t>
      </w:r>
    </w:p>
    <w:p>
      <w:pPr>
        <w:pStyle w:val="Heading2"/>
      </w:pPr>
      <w:r>
        <w:t>Ambigüedades detectadas</w:t>
      </w:r>
    </w:p>
    <w:p>
      <w:r>
        <w:t>Art. 6.4 remite al art. 23 al hablar de modificación, aunque su regulación material está en el art. 25. Art. 26.1 menciona el art. 4.6 para Justifica, aunque el acceso está en el art. 6.6. Posible interpretación: errores de remisión interna. Norma prioritaria para esos trámites: disposiciones sustantivas de los arts. 6.6 y 25.</w:t>
      </w:r>
    </w:p>
    <w:p>
      <w:r>
        <w:t>Costes de ausencias en art. 13.3 frente a justificación por módulos de arts. 26.2 y 28.3: no debe suponerse que el sistema de módulos deja sin efecto las exclusiones. Posible interpretación operativa: reflejar tiempo subvencionable conforme a modelos e instrucciones AEI. La forma de cómputo detallada debe confirmarse antes de liquidar.</w:t>
      </w:r>
    </w:p>
    <w:p>
      <w:r>
        <w:t>El módulo mensual de 2.708,33 euros por doce meses suma 32.499,96, mientras la dotación anual es 32.500 euros. No especificado: ajuste de cuatro céntimos, fracciones de mes o regla detallada de redondeo. Suele encontrarse en instrucciones y modelos de justificación. No se inventa una corrección.</w:t>
      </w:r>
    </w:p>
    <w:p>
      <w:r>
        <w:t>Anexo IV.2.ñ) utiliza una denominación de red ambiental que conviene confirmar frente a la normativa aplicable; el anexo IV.4.l) alude a RED NATURA 2000. No se sustituye una denominación del documento por un requisito nuevo.</w:t>
      </w:r>
    </w:p>
    <w:p>
      <w:r>
        <w:t>El anexo VII.2 repite el número 7 en dos apartados. Para evitar confusión, las referencias se hacen también al título del apartado y a su página fuente.</w:t>
      </w:r>
    </w:p>
    <w:p>
      <w:pPr>
        <w:pStyle w:val="Heading2"/>
      </w:pPr>
      <w:r>
        <w:t>Huecos o información no especificada</w:t>
      </w:r>
    </w:p>
    <w:p>
      <w:r>
        <w:t>No especificado: calendario de cierre interno UVa, autorización de gasto, firmas delegadas y circuito de contratación. Suele encontrarse en instrucciones internas del SAI y normativa económica y de personal.</w:t>
      </w:r>
    </w:p>
    <w:p>
      <w:r>
        <w:t>No especificado: cuantías numéricas de dietas UVa, tablas salariales vigentes al contratar y cuotas de cotización futuras. Suele encontrarse en normativa universitaria, convenio y normas de Seguridad Social vigentes.</w:t>
      </w:r>
    </w:p>
    <w:p>
      <w:r>
        <w:t>No especificado: tipos detallados de cambio presupuestario o de documento que la aplicación permita en cada fase. Suele encontrarse en guías operativas y en el requerimiento concreto de la AEI.</w:t>
      </w:r>
    </w:p>
    <w:p>
      <w:r>
        <w:t>No especificado: titularidad y distribución completa de resultados para cada relación contractual. Suele encontrarse en normativa de propiedad intelectual, industrial y en acuerdos específicos; el art. 23.3.a) sí regula protección previa y acceso abierto.</w:t>
      </w:r>
    </w:p>
    <w:p>
      <w:r>
        <w:t>No especificado: regla general de IVA elegible en el art. 11 de la convocatoria analizada. Suele encontrarse en bases reguladoras e instrucciones de justificación; antes de presupuestar o imputar debe confirmarse tratamiento del IVA recuperable.</w:t>
      </w:r>
    </w:p>
    <w:p>
      <w:r>
        <w:t>No especificado: autor y carácter oficial del resumen D3. Su contenido se utiliza como apoyo, contrastándolo con la resolución y el extracto.</w:t>
      </w:r>
    </w:p>
    <w:tbl>
      <w:tblPr>
        <w:tblStyle w:val="LightShading-Accent1"/>
        <w:tblW w:type="auto" w:w="0"/>
        <w:tblLook w:firstColumn="1" w:firstRow="1" w:lastColumn="0" w:lastRow="0" w:noHBand="0" w:noVBand="1" w:val="04A0"/>
      </w:tblPr>
      <w:tblGrid>
        <w:gridCol w:w="3213"/>
        <w:gridCol w:w="3213"/>
        <w:gridCol w:w="3213"/>
      </w:tblGrid>
      <w:tr>
        <w:trPr>
          <w:cantSplit/>
          <w:tblHeader/>
        </w:trPr>
        <w:tc>
          <w:tcPr>
            <w:tcW w:type="dxa" w:w="3213"/>
          </w:tcPr>
          <w:p>
            <w:r>
              <w:rPr>
                <w:sz w:val="18"/>
              </w:rPr>
              <w:t>Bloque</w:t>
            </w:r>
          </w:p>
        </w:tc>
        <w:tc>
          <w:tcPr>
            <w:tcW w:type="dxa" w:w="3213"/>
          </w:tcPr>
          <w:p>
            <w:r>
              <w:rPr>
                <w:sz w:val="18"/>
              </w:rPr>
              <w:t>Confianza</w:t>
            </w:r>
          </w:p>
        </w:tc>
        <w:tc>
          <w:tcPr>
            <w:tcW w:type="dxa" w:w="3213"/>
          </w:tcPr>
          <w:p>
            <w:r>
              <w:rPr>
                <w:sz w:val="18"/>
              </w:rPr>
              <w:t>Razón</w:t>
            </w:r>
          </w:p>
        </w:tc>
      </w:tr>
      <w:tr>
        <w:trPr>
          <w:cantSplit/>
        </w:trPr>
        <w:tc>
          <w:tcPr>
            <w:tcW w:type="dxa" w:w="3213"/>
          </w:tcPr>
          <w:p>
            <w:r>
              <w:rPr>
                <w:sz w:val="18"/>
              </w:rPr>
              <w:t>Identificación y plazo</w:t>
            </w:r>
          </w:p>
        </w:tc>
        <w:tc>
          <w:tcPr>
            <w:tcW w:type="dxa" w:w="3213"/>
          </w:tcPr>
          <w:p>
            <w:r>
              <w:rPr>
                <w:sz w:val="18"/>
              </w:rPr>
              <w:t>Alto</w:t>
            </w:r>
          </w:p>
        </w:tc>
        <w:tc>
          <w:tcPr>
            <w:tcW w:type="dxa" w:w="3213"/>
          </w:tcPr>
          <w:p>
            <w:r>
              <w:rPr>
                <w:sz w:val="18"/>
              </w:rPr>
              <w:t>Concordancia D1/D2 y verificación BOE.</w:t>
            </w:r>
          </w:p>
        </w:tc>
      </w:tr>
      <w:tr>
        <w:trPr>
          <w:cantSplit/>
        </w:trPr>
        <w:tc>
          <w:tcPr>
            <w:tcW w:type="dxa" w:w="3213"/>
          </w:tcPr>
          <w:p>
            <w:r>
              <w:rPr>
                <w:sz w:val="18"/>
              </w:rPr>
              <w:t>Participación y documentación</w:t>
            </w:r>
          </w:p>
        </w:tc>
        <w:tc>
          <w:tcPr>
            <w:tcW w:type="dxa" w:w="3213"/>
          </w:tcPr>
          <w:p>
            <w:r>
              <w:rPr>
                <w:sz w:val="18"/>
              </w:rPr>
              <w:t>Alto</w:t>
            </w:r>
          </w:p>
        </w:tc>
        <w:tc>
          <w:tcPr>
            <w:tcW w:type="dxa" w:w="3213"/>
          </w:tcPr>
          <w:p>
            <w:r>
              <w:rPr>
                <w:sz w:val="18"/>
              </w:rPr>
              <w:t>Reglas expresas de arts. 7-10 y 17-19.</w:t>
            </w:r>
          </w:p>
        </w:tc>
      </w:tr>
      <w:tr>
        <w:trPr>
          <w:cantSplit/>
        </w:trPr>
        <w:tc>
          <w:tcPr>
            <w:tcW w:type="dxa" w:w="3213"/>
          </w:tcPr>
          <w:p>
            <w:r>
              <w:rPr>
                <w:sz w:val="18"/>
              </w:rPr>
              <w:t>Gastos, servicios centrales e indirectos</w:t>
            </w:r>
          </w:p>
        </w:tc>
        <w:tc>
          <w:tcPr>
            <w:tcW w:type="dxa" w:w="3213"/>
          </w:tcPr>
          <w:p>
            <w:r>
              <w:rPr>
                <w:sz w:val="18"/>
              </w:rPr>
              <w:t>Alto</w:t>
            </w:r>
          </w:p>
        </w:tc>
        <w:tc>
          <w:tcPr>
            <w:tcW w:type="dxa" w:w="3213"/>
          </w:tcPr>
          <w:p>
            <w:r>
              <w:rPr>
                <w:sz w:val="18"/>
              </w:rPr>
              <w:t>Conceptos y exclusiones expresos del art. 11.</w:t>
            </w:r>
          </w:p>
        </w:tc>
      </w:tr>
      <w:tr>
        <w:trPr>
          <w:cantSplit/>
        </w:trPr>
        <w:tc>
          <w:tcPr>
            <w:tcW w:type="dxa" w:w="3213"/>
          </w:tcPr>
          <w:p>
            <w:r>
              <w:rPr>
                <w:sz w:val="18"/>
              </w:rPr>
              <w:t>Cómputos complejos predoctorales</w:t>
            </w:r>
          </w:p>
        </w:tc>
        <w:tc>
          <w:tcPr>
            <w:tcW w:type="dxa" w:w="3213"/>
          </w:tcPr>
          <w:p>
            <w:r>
              <w:rPr>
                <w:sz w:val="18"/>
              </w:rPr>
              <w:t>Medio</w:t>
            </w:r>
          </w:p>
        </w:tc>
        <w:tc>
          <w:tcPr>
            <w:tcW w:type="dxa" w:w="3213"/>
          </w:tcPr>
          <w:p>
            <w:r>
              <w:rPr>
                <w:sz w:val="18"/>
              </w:rPr>
              <w:t>Reglas expresas, con desarrollo operativo por instrucciones y normativa laboral vigente.</w:t>
            </w:r>
          </w:p>
        </w:tc>
      </w:tr>
      <w:tr>
        <w:trPr>
          <w:cantSplit/>
        </w:trPr>
        <w:tc>
          <w:tcPr>
            <w:tcW w:type="dxa" w:w="3213"/>
          </w:tcPr>
          <w:p>
            <w:r>
              <w:rPr>
                <w:sz w:val="18"/>
              </w:rPr>
              <w:t>Modificaciones y seguimiento</w:t>
            </w:r>
          </w:p>
        </w:tc>
        <w:tc>
          <w:tcPr>
            <w:tcW w:type="dxa" w:w="3213"/>
          </w:tcPr>
          <w:p>
            <w:r>
              <w:rPr>
                <w:sz w:val="18"/>
              </w:rPr>
              <w:t>Alto</w:t>
            </w:r>
          </w:p>
        </w:tc>
        <w:tc>
          <w:tcPr>
            <w:tcW w:type="dxa" w:w="3213"/>
          </w:tcPr>
          <w:p>
            <w:r>
              <w:rPr>
                <w:sz w:val="18"/>
              </w:rPr>
              <w:t>Plazos y condiciones de arts. 25-30.</w:t>
            </w:r>
          </w:p>
        </w:tc>
      </w:tr>
      <w:tr>
        <w:trPr>
          <w:cantSplit/>
        </w:trPr>
        <w:tc>
          <w:tcPr>
            <w:tcW w:type="dxa" w:w="3213"/>
          </w:tcPr>
          <w:p>
            <w:r>
              <w:rPr>
                <w:sz w:val="18"/>
              </w:rPr>
              <w:t>Aplicación interna UVa</w:t>
            </w:r>
          </w:p>
        </w:tc>
        <w:tc>
          <w:tcPr>
            <w:tcW w:type="dxa" w:w="3213"/>
          </w:tcPr>
          <w:p>
            <w:r>
              <w:rPr>
                <w:sz w:val="18"/>
              </w:rPr>
              <w:t>Medio</w:t>
            </w:r>
          </w:p>
        </w:tc>
        <w:tc>
          <w:tcPr>
            <w:tcW w:type="dxa" w:w="3213"/>
          </w:tcPr>
          <w:p>
            <w:r>
              <w:rPr>
                <w:sz w:val="18"/>
              </w:rPr>
              <w:t>Acciones prácticas propuestas; faltan instrucciones internas específicas para esta convocatoria.</w:t>
            </w:r>
          </w:p>
        </w:tc>
      </w:tr>
      <w:tr>
        <w:trPr>
          <w:cantSplit/>
        </w:trPr>
        <w:tc>
          <w:tcPr>
            <w:tcW w:type="dxa" w:w="3213"/>
          </w:tcPr>
          <w:p>
            <w:r>
              <w:rPr>
                <w:sz w:val="18"/>
              </w:rPr>
              <w:t>Comparación completa con anualidades previas</w:t>
            </w:r>
          </w:p>
        </w:tc>
        <w:tc>
          <w:tcPr>
            <w:tcW w:type="dxa" w:w="3213"/>
          </w:tcPr>
          <w:p>
            <w:r>
              <w:rPr>
                <w:sz w:val="18"/>
              </w:rPr>
              <w:t>Bajo</w:t>
            </w:r>
          </w:p>
        </w:tc>
        <w:tc>
          <w:tcPr>
            <w:tcW w:type="dxa" w:w="3213"/>
          </w:tcPr>
          <w:p>
            <w:r>
              <w:rPr>
                <w:sz w:val="18"/>
              </w:rPr>
              <w:t>Solo se verifican novedades identificadas por la AEI; no hay comparación íntegra de convocatorias.</w:t>
            </w:r>
          </w:p>
        </w:tc>
      </w:tr>
    </w:tbl>
    <w:p>
      <w:r>
        <w:t>Criterio de uso: las referencias corresponden a la resolución de 30/09/2026 salvo que indiquen otra fuente. Ante diferencias, la síntesis D3 no puede modificar las reglas de D1 y de las normas superiores. La resolución de concesión y las instrucciones posteriores concretarán el expediente sin desplazar requisitos legales.</w:t>
      </w:r>
    </w:p>
    <w:sectPr w:rsidR="00FC693F" w:rsidRPr="0006063C" w:rsidSect="00034616">
      <w:footerReference w:type="default" r:id="rId9"/>
      <w:headerReference w:type="default" r:id="rId10"/>
      <w:pgSz w:w="11906" w:h="16838"/>
      <w:pgMar w:top="1020" w:right="1134" w:bottom="1077" w:left="1134"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Servicio de Apoyo a la Investigación. Vicerrectorado de Investigación. Universidad de Valladolid</w:t>
    </w:r>
    <w:r>
      <w:br/>
    </w:r>
    <w:r>
      <w:rPr>
        <w:sz w:val="16"/>
      </w:rPr>
      <w:t xml:space="preserve">Página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72446"/>
        <w:sz w:val="16"/>
      </w:rPr>
      <w:t>UVa  |  APOYO A LA INVESTIGACIÓN  |  PID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672446"/>
      <w:sz w:val="3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672446"/>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Calibri" w:hAnsi="Calibri"/>
      <w:b/>
      <w:bCs/>
      <w:color w:val="67244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200"/>
      <w:contextualSpacing/>
    </w:pPr>
    <w:rPr>
      <w:rFonts w:asciiTheme="majorHAnsi" w:eastAsiaTheme="majorEastAsia" w:hAnsiTheme="majorHAnsi" w:cstheme="majorBidi" w:ascii="Calibri" w:hAnsi="Calibri"/>
      <w:color w:val="672446"/>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80" w:line="254" w:lineRule="auto"/>
    </w:pPr>
    <w:rPr>
      <w:rFonts w:ascii="Calibri" w:hAnsi="Calibri"/>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